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B4B" w:rsidRPr="00A53B4B" w:rsidRDefault="00A53B4B" w:rsidP="00A53B4B">
      <w:pPr>
        <w:pStyle w:val="Appendix2"/>
        <w:numPr>
          <w:ilvl w:val="0"/>
          <w:numId w:val="0"/>
        </w:numPr>
        <w:tabs>
          <w:tab w:val="left" w:pos="720"/>
        </w:tabs>
        <w:ind w:left="567" w:hanging="357"/>
        <w:jc w:val="center"/>
      </w:pPr>
      <w:bookmarkStart w:id="0" w:name="_Ref476426289"/>
      <w:r>
        <w:t>Δήλωση Συμμετοχής Μέλους Η.ΒΙ.Π.</w:t>
      </w:r>
      <w:bookmarkEnd w:id="0"/>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t>Προς</w:t>
      </w:r>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t>την ΕΛΛΗΝΙΚΑ ΧΡΗΜΑΤΙΣΤΗΡΙΑ - ΧΡΗΜΑΤΙΣΤΗΡΙΟ ΑΘΗΝΩΝ Α.Ε. (Χ.Α.)</w:t>
      </w:r>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t>Τμήμα Εξυπηρέτησης Μελών</w:t>
      </w:r>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t>Λ. Αθηνών 110, ΤΚ 104 42</w:t>
      </w:r>
    </w:p>
    <w:p w:rsidR="00A53B4B" w:rsidRDefault="00A53B4B" w:rsidP="00A53B4B">
      <w:pPr>
        <w:tabs>
          <w:tab w:val="right" w:pos="8505"/>
        </w:tabs>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tab/>
        <w:t xml:space="preserve">Αθήνα, </w:t>
      </w:r>
      <w:r w:rsidR="00AE0454" w:rsidRPr="00586637">
        <w:rPr>
          <w:rFonts w:ascii="Times New Roman" w:hAnsi="Times New Roman"/>
          <w:bCs/>
          <w:sz w:val="20"/>
          <w:szCs w:val="18"/>
          <w:u w:val="dotted"/>
        </w:rPr>
        <w:fldChar w:fldCharType="begin">
          <w:ffData>
            <w:name w:val=""/>
            <w:enabled/>
            <w:calcOnExit w:val="0"/>
            <w:textInput>
              <w:maxLength w:val="50"/>
            </w:textInput>
          </w:ffData>
        </w:fldChar>
      </w:r>
      <w:r w:rsidR="00AE0454" w:rsidRPr="00586637">
        <w:rPr>
          <w:rFonts w:ascii="Times New Roman" w:hAnsi="Times New Roman"/>
          <w:bCs/>
          <w:sz w:val="20"/>
          <w:szCs w:val="18"/>
          <w:u w:val="dotted"/>
        </w:rPr>
        <w:instrText xml:space="preserve"> FORMTEXT </w:instrText>
      </w:r>
      <w:r w:rsidR="00AE0454" w:rsidRPr="00586637">
        <w:rPr>
          <w:rFonts w:ascii="Times New Roman" w:hAnsi="Times New Roman"/>
          <w:bCs/>
          <w:sz w:val="20"/>
          <w:szCs w:val="18"/>
          <w:u w:val="dotted"/>
        </w:rPr>
      </w:r>
      <w:r w:rsidR="00AE0454" w:rsidRPr="00586637">
        <w:rPr>
          <w:rFonts w:ascii="Times New Roman" w:hAnsi="Times New Roman"/>
          <w:bCs/>
          <w:sz w:val="20"/>
          <w:szCs w:val="18"/>
          <w:u w:val="dotted"/>
        </w:rPr>
        <w:fldChar w:fldCharType="separate"/>
      </w:r>
      <w:r w:rsidR="00AE0454" w:rsidRPr="00586637">
        <w:rPr>
          <w:rFonts w:ascii="Times New Roman" w:hAnsi="Times New Roman"/>
          <w:bCs/>
          <w:noProof/>
          <w:sz w:val="20"/>
          <w:szCs w:val="18"/>
          <w:u w:val="dotted"/>
        </w:rPr>
        <w:t> </w:t>
      </w:r>
      <w:r w:rsidR="00AE0454" w:rsidRPr="00586637">
        <w:rPr>
          <w:rFonts w:ascii="Times New Roman" w:hAnsi="Times New Roman"/>
          <w:bCs/>
          <w:noProof/>
          <w:sz w:val="20"/>
          <w:szCs w:val="18"/>
          <w:u w:val="dotted"/>
        </w:rPr>
        <w:t> </w:t>
      </w:r>
      <w:r w:rsidR="00AE0454" w:rsidRPr="00586637">
        <w:rPr>
          <w:rFonts w:ascii="Times New Roman" w:hAnsi="Times New Roman"/>
          <w:bCs/>
          <w:noProof/>
          <w:sz w:val="20"/>
          <w:szCs w:val="18"/>
          <w:u w:val="dotted"/>
        </w:rPr>
        <w:t> </w:t>
      </w:r>
      <w:r w:rsidR="00AE0454" w:rsidRPr="00586637">
        <w:rPr>
          <w:rFonts w:ascii="Times New Roman" w:hAnsi="Times New Roman"/>
          <w:bCs/>
          <w:noProof/>
          <w:sz w:val="20"/>
          <w:szCs w:val="18"/>
          <w:u w:val="dotted"/>
        </w:rPr>
        <w:t> </w:t>
      </w:r>
      <w:r w:rsidR="00AE0454" w:rsidRPr="00586637">
        <w:rPr>
          <w:rFonts w:ascii="Times New Roman" w:hAnsi="Times New Roman"/>
          <w:bCs/>
          <w:noProof/>
          <w:sz w:val="20"/>
          <w:szCs w:val="18"/>
          <w:u w:val="dotted"/>
        </w:rPr>
        <w:t> </w:t>
      </w:r>
      <w:r w:rsidR="00AE0454" w:rsidRPr="00586637">
        <w:rPr>
          <w:rFonts w:ascii="Times New Roman" w:hAnsi="Times New Roman"/>
          <w:bCs/>
          <w:sz w:val="20"/>
          <w:szCs w:val="18"/>
          <w:u w:val="dotted"/>
        </w:rPr>
        <w:fldChar w:fldCharType="end"/>
      </w:r>
    </w:p>
    <w:p w:rsidR="00A53B4B" w:rsidRDefault="00A53B4B" w:rsidP="00C73843">
      <w:pPr>
        <w:autoSpaceDE w:val="0"/>
        <w:autoSpaceDN w:val="0"/>
        <w:adjustRightInd w:val="0"/>
        <w:spacing w:before="120"/>
        <w:jc w:val="center"/>
        <w:rPr>
          <w:rFonts w:asciiTheme="majorBidi" w:hAnsiTheme="majorBidi" w:cstheme="majorBidi"/>
          <w:b/>
          <w:i/>
          <w:sz w:val="24"/>
          <w:szCs w:val="24"/>
        </w:rPr>
      </w:pPr>
      <w:r>
        <w:rPr>
          <w:rFonts w:asciiTheme="majorBidi" w:hAnsiTheme="majorBidi" w:cstheme="majorBidi"/>
          <w:b/>
          <w:i/>
          <w:sz w:val="24"/>
          <w:szCs w:val="24"/>
        </w:rPr>
        <w:t>ΔΗΛΩΣΗ ΣΥΜΜΕΤΟΧΗΣ ΜΕΛΟΥΣ Η.ΒΙ.Π. ΣΤΗ ΔΙΑΔΙΚΑΣΙΑ Η.ΒΙ.Π. ΣΕ ΣΧΕΣΗ ΜΕ ΤΟ ΠΡΟΓΡΑΜΜΑ ΑΝΤΛΗΣΗΣ ΚΕΦΑΛΑΙΩΝ</w:t>
      </w:r>
      <w:r w:rsidR="00E75114">
        <w:rPr>
          <w:rFonts w:asciiTheme="majorBidi" w:hAnsiTheme="majorBidi" w:cstheme="majorBidi"/>
          <w:b/>
          <w:i/>
          <w:sz w:val="24"/>
          <w:szCs w:val="24"/>
        </w:rPr>
        <w:t xml:space="preserve"> ΤΗΣ ΟΡΓΑΝΙΣΜΟΣ ΠΡΟΓΝΩΣΤΙΚΩΝ ΑΓΩΝΩΝ ΠΟΔΟΣΦΑΙΡΟΥ</w:t>
      </w:r>
      <w:r w:rsidR="00F76667">
        <w:rPr>
          <w:rFonts w:asciiTheme="majorBidi" w:hAnsiTheme="majorBidi" w:cstheme="majorBidi"/>
          <w:b/>
          <w:i/>
          <w:sz w:val="24"/>
          <w:szCs w:val="24"/>
        </w:rPr>
        <w:t xml:space="preserve"> (ΟΠΑΠ Α.Ε.) </w:t>
      </w:r>
    </w:p>
    <w:p w:rsidR="00A53B4B" w:rsidRDefault="00A53B4B" w:rsidP="00A53B4B">
      <w:pPr>
        <w:autoSpaceDE w:val="0"/>
        <w:autoSpaceDN w:val="0"/>
        <w:adjustRightInd w:val="0"/>
        <w:rPr>
          <w:rFonts w:asciiTheme="majorBidi" w:hAnsiTheme="majorBidi" w:cstheme="majorBidi"/>
          <w:i/>
          <w:sz w:val="24"/>
          <w:szCs w:val="24"/>
        </w:rPr>
      </w:pPr>
    </w:p>
    <w:p w:rsidR="00A53B4B" w:rsidRPr="00586637" w:rsidRDefault="00A53B4B" w:rsidP="00A53B4B">
      <w:pPr>
        <w:autoSpaceDE w:val="0"/>
        <w:autoSpaceDN w:val="0"/>
        <w:adjustRightInd w:val="0"/>
        <w:rPr>
          <w:rFonts w:ascii="Times New Roman" w:hAnsi="Times New Roman"/>
          <w:i/>
          <w:sz w:val="24"/>
          <w:szCs w:val="24"/>
        </w:rPr>
      </w:pPr>
      <w:r w:rsidRPr="00586637">
        <w:rPr>
          <w:rFonts w:ascii="Times New Roman" w:hAnsi="Times New Roman"/>
          <w:i/>
          <w:sz w:val="24"/>
          <w:szCs w:val="24"/>
        </w:rPr>
        <w:t xml:space="preserve">Το νομικό πρόσωπο με την επωνυμία </w:t>
      </w:r>
      <w:r w:rsidR="00AE0454" w:rsidRPr="00586637">
        <w:rPr>
          <w:rFonts w:ascii="Times New Roman" w:hAnsi="Times New Roman"/>
          <w:b/>
          <w:bCs/>
          <w:i/>
          <w:sz w:val="24"/>
          <w:szCs w:val="24"/>
          <w:u w:val="dotted"/>
        </w:rPr>
        <w:fldChar w:fldCharType="begin">
          <w:ffData>
            <w:name w:val=""/>
            <w:enabled/>
            <w:calcOnExit w:val="0"/>
            <w:textInput>
              <w:maxLength w:val="50"/>
            </w:textInput>
          </w:ffData>
        </w:fldChar>
      </w:r>
      <w:r w:rsidR="00AE0454" w:rsidRPr="00586637">
        <w:rPr>
          <w:rFonts w:ascii="Times New Roman" w:hAnsi="Times New Roman"/>
          <w:b/>
          <w:bCs/>
          <w:i/>
          <w:sz w:val="24"/>
          <w:szCs w:val="24"/>
          <w:u w:val="dotted"/>
        </w:rPr>
        <w:instrText xml:space="preserve"> FORMTEXT </w:instrText>
      </w:r>
      <w:r w:rsidR="00AE0454" w:rsidRPr="00586637">
        <w:rPr>
          <w:rFonts w:ascii="Times New Roman" w:hAnsi="Times New Roman"/>
          <w:b/>
          <w:bCs/>
          <w:i/>
          <w:sz w:val="24"/>
          <w:szCs w:val="24"/>
          <w:u w:val="dotted"/>
        </w:rPr>
      </w:r>
      <w:r w:rsidR="00AE0454" w:rsidRPr="00586637">
        <w:rPr>
          <w:rFonts w:ascii="Times New Roman" w:hAnsi="Times New Roman"/>
          <w:b/>
          <w:bCs/>
          <w:i/>
          <w:sz w:val="24"/>
          <w:szCs w:val="24"/>
          <w:u w:val="dotted"/>
        </w:rPr>
        <w:fldChar w:fldCharType="separate"/>
      </w:r>
      <w:r w:rsidR="00AE0454" w:rsidRPr="00586637">
        <w:rPr>
          <w:rFonts w:ascii="Times New Roman" w:hAnsi="Times New Roman"/>
          <w:b/>
          <w:bCs/>
          <w:i/>
          <w:noProof/>
          <w:sz w:val="24"/>
          <w:szCs w:val="24"/>
          <w:u w:val="dotted"/>
        </w:rPr>
        <w:t> </w:t>
      </w:r>
      <w:r w:rsidR="00AE0454" w:rsidRPr="00586637">
        <w:rPr>
          <w:rFonts w:ascii="Times New Roman" w:hAnsi="Times New Roman"/>
          <w:b/>
          <w:bCs/>
          <w:i/>
          <w:noProof/>
          <w:sz w:val="24"/>
          <w:szCs w:val="24"/>
          <w:u w:val="dotted"/>
        </w:rPr>
        <w:t> </w:t>
      </w:r>
      <w:r w:rsidR="00AE0454" w:rsidRPr="00586637">
        <w:rPr>
          <w:rFonts w:ascii="Times New Roman" w:hAnsi="Times New Roman"/>
          <w:b/>
          <w:bCs/>
          <w:i/>
          <w:noProof/>
          <w:sz w:val="24"/>
          <w:szCs w:val="24"/>
          <w:u w:val="dotted"/>
        </w:rPr>
        <w:t> </w:t>
      </w:r>
      <w:r w:rsidR="00AE0454" w:rsidRPr="00586637">
        <w:rPr>
          <w:rFonts w:ascii="Times New Roman" w:hAnsi="Times New Roman"/>
          <w:b/>
          <w:bCs/>
          <w:i/>
          <w:noProof/>
          <w:sz w:val="24"/>
          <w:szCs w:val="24"/>
          <w:u w:val="dotted"/>
        </w:rPr>
        <w:t> </w:t>
      </w:r>
      <w:r w:rsidR="00AE0454" w:rsidRPr="00586637">
        <w:rPr>
          <w:rFonts w:ascii="Times New Roman" w:hAnsi="Times New Roman"/>
          <w:b/>
          <w:bCs/>
          <w:i/>
          <w:noProof/>
          <w:sz w:val="24"/>
          <w:szCs w:val="24"/>
          <w:u w:val="dotted"/>
        </w:rPr>
        <w:t> </w:t>
      </w:r>
      <w:r w:rsidR="00AE0454" w:rsidRPr="00586637">
        <w:rPr>
          <w:rFonts w:ascii="Times New Roman" w:hAnsi="Times New Roman"/>
          <w:b/>
          <w:bCs/>
          <w:i/>
          <w:sz w:val="24"/>
          <w:szCs w:val="24"/>
          <w:u w:val="dotted"/>
        </w:rPr>
        <w:fldChar w:fldCharType="end"/>
      </w:r>
      <w:r w:rsidRPr="00586637">
        <w:rPr>
          <w:rFonts w:ascii="Times New Roman" w:hAnsi="Times New Roman"/>
          <w:i/>
          <w:sz w:val="24"/>
          <w:szCs w:val="24"/>
        </w:rPr>
        <w:t xml:space="preserve"> που εδρεύει </w:t>
      </w:r>
      <w:r w:rsidR="00586637" w:rsidRPr="00586637">
        <w:rPr>
          <w:rFonts w:ascii="Times New Roman" w:hAnsi="Times New Roman"/>
          <w:b/>
          <w:bCs/>
          <w:i/>
          <w:sz w:val="24"/>
          <w:szCs w:val="24"/>
          <w:u w:val="dotted"/>
        </w:rPr>
        <w:fldChar w:fldCharType="begin">
          <w:ffData>
            <w:name w:val=""/>
            <w:enabled/>
            <w:calcOnExit w:val="0"/>
            <w:textInput>
              <w:maxLength w:val="50"/>
            </w:textInput>
          </w:ffData>
        </w:fldChar>
      </w:r>
      <w:r w:rsidR="00586637" w:rsidRPr="00586637">
        <w:rPr>
          <w:rFonts w:ascii="Times New Roman" w:hAnsi="Times New Roman"/>
          <w:b/>
          <w:bCs/>
          <w:i/>
          <w:sz w:val="24"/>
          <w:szCs w:val="24"/>
          <w:u w:val="dotted"/>
        </w:rPr>
        <w:instrText xml:space="preserve"> FORMTEXT </w:instrText>
      </w:r>
      <w:r w:rsidR="00586637" w:rsidRPr="00586637">
        <w:rPr>
          <w:rFonts w:ascii="Times New Roman" w:hAnsi="Times New Roman"/>
          <w:b/>
          <w:bCs/>
          <w:i/>
          <w:sz w:val="24"/>
          <w:szCs w:val="24"/>
          <w:u w:val="dotted"/>
        </w:rPr>
      </w:r>
      <w:r w:rsidR="00586637" w:rsidRPr="00586637">
        <w:rPr>
          <w:rFonts w:ascii="Times New Roman" w:hAnsi="Times New Roman"/>
          <w:b/>
          <w:bCs/>
          <w:i/>
          <w:sz w:val="24"/>
          <w:szCs w:val="24"/>
          <w:u w:val="dotted"/>
        </w:rPr>
        <w:fldChar w:fldCharType="separate"/>
      </w:r>
      <w:r w:rsidR="00586637" w:rsidRPr="00586637">
        <w:rPr>
          <w:rFonts w:ascii="Times New Roman" w:hAnsi="Times New Roman"/>
          <w:b/>
          <w:bCs/>
          <w:i/>
          <w:noProof/>
          <w:sz w:val="24"/>
          <w:szCs w:val="24"/>
          <w:u w:val="dotted"/>
        </w:rPr>
        <w:t> </w:t>
      </w:r>
      <w:r w:rsidR="00586637" w:rsidRPr="00586637">
        <w:rPr>
          <w:rFonts w:ascii="Times New Roman" w:hAnsi="Times New Roman"/>
          <w:b/>
          <w:bCs/>
          <w:i/>
          <w:noProof/>
          <w:sz w:val="24"/>
          <w:szCs w:val="24"/>
          <w:u w:val="dotted"/>
        </w:rPr>
        <w:t> </w:t>
      </w:r>
      <w:r w:rsidR="00586637" w:rsidRPr="00586637">
        <w:rPr>
          <w:rFonts w:ascii="Times New Roman" w:hAnsi="Times New Roman"/>
          <w:b/>
          <w:bCs/>
          <w:i/>
          <w:noProof/>
          <w:sz w:val="24"/>
          <w:szCs w:val="24"/>
          <w:u w:val="dotted"/>
        </w:rPr>
        <w:t> </w:t>
      </w:r>
      <w:r w:rsidR="00586637" w:rsidRPr="00586637">
        <w:rPr>
          <w:rFonts w:ascii="Times New Roman" w:hAnsi="Times New Roman"/>
          <w:b/>
          <w:bCs/>
          <w:i/>
          <w:noProof/>
          <w:sz w:val="24"/>
          <w:szCs w:val="24"/>
          <w:u w:val="dotted"/>
        </w:rPr>
        <w:t> </w:t>
      </w:r>
      <w:r w:rsidR="00586637" w:rsidRPr="00586637">
        <w:rPr>
          <w:rFonts w:ascii="Times New Roman" w:hAnsi="Times New Roman"/>
          <w:b/>
          <w:bCs/>
          <w:i/>
          <w:noProof/>
          <w:sz w:val="24"/>
          <w:szCs w:val="24"/>
          <w:u w:val="dotted"/>
        </w:rPr>
        <w:t> </w:t>
      </w:r>
      <w:r w:rsidR="00586637" w:rsidRPr="00586637">
        <w:rPr>
          <w:rFonts w:ascii="Times New Roman" w:hAnsi="Times New Roman"/>
          <w:b/>
          <w:bCs/>
          <w:i/>
          <w:sz w:val="24"/>
          <w:szCs w:val="24"/>
          <w:u w:val="dotted"/>
        </w:rPr>
        <w:fldChar w:fldCharType="end"/>
      </w:r>
      <w:r w:rsidRPr="00586637">
        <w:rPr>
          <w:rFonts w:ascii="Times New Roman" w:hAnsi="Times New Roman"/>
          <w:i/>
          <w:sz w:val="24"/>
          <w:szCs w:val="24"/>
        </w:rPr>
        <w:t xml:space="preserve"> με ΑΦΜ </w:t>
      </w:r>
      <w:r w:rsidR="00586637" w:rsidRPr="00586637">
        <w:rPr>
          <w:rFonts w:ascii="Times New Roman" w:hAnsi="Times New Roman"/>
          <w:b/>
          <w:bCs/>
          <w:i/>
          <w:sz w:val="24"/>
          <w:szCs w:val="24"/>
          <w:u w:val="dotted"/>
        </w:rPr>
        <w:fldChar w:fldCharType="begin">
          <w:ffData>
            <w:name w:val=""/>
            <w:enabled/>
            <w:calcOnExit w:val="0"/>
            <w:textInput>
              <w:maxLength w:val="50"/>
            </w:textInput>
          </w:ffData>
        </w:fldChar>
      </w:r>
      <w:r w:rsidR="00586637" w:rsidRPr="00586637">
        <w:rPr>
          <w:rFonts w:ascii="Times New Roman" w:hAnsi="Times New Roman"/>
          <w:b/>
          <w:bCs/>
          <w:i/>
          <w:sz w:val="24"/>
          <w:szCs w:val="24"/>
          <w:u w:val="dotted"/>
        </w:rPr>
        <w:instrText xml:space="preserve"> FORMTEXT </w:instrText>
      </w:r>
      <w:r w:rsidR="00586637" w:rsidRPr="00586637">
        <w:rPr>
          <w:rFonts w:ascii="Times New Roman" w:hAnsi="Times New Roman"/>
          <w:b/>
          <w:bCs/>
          <w:i/>
          <w:sz w:val="24"/>
          <w:szCs w:val="24"/>
          <w:u w:val="dotted"/>
        </w:rPr>
      </w:r>
      <w:r w:rsidR="00586637" w:rsidRPr="00586637">
        <w:rPr>
          <w:rFonts w:ascii="Times New Roman" w:hAnsi="Times New Roman"/>
          <w:b/>
          <w:bCs/>
          <w:i/>
          <w:sz w:val="24"/>
          <w:szCs w:val="24"/>
          <w:u w:val="dotted"/>
        </w:rPr>
        <w:fldChar w:fldCharType="separate"/>
      </w:r>
      <w:r w:rsidR="00586637" w:rsidRPr="00586637">
        <w:rPr>
          <w:rFonts w:ascii="Times New Roman" w:hAnsi="Times New Roman"/>
          <w:b/>
          <w:bCs/>
          <w:i/>
          <w:noProof/>
          <w:sz w:val="24"/>
          <w:szCs w:val="24"/>
          <w:u w:val="dotted"/>
        </w:rPr>
        <w:t> </w:t>
      </w:r>
      <w:r w:rsidR="00586637" w:rsidRPr="00586637">
        <w:rPr>
          <w:rFonts w:ascii="Times New Roman" w:hAnsi="Times New Roman"/>
          <w:b/>
          <w:bCs/>
          <w:i/>
          <w:noProof/>
          <w:sz w:val="24"/>
          <w:szCs w:val="24"/>
          <w:u w:val="dotted"/>
        </w:rPr>
        <w:t> </w:t>
      </w:r>
      <w:r w:rsidR="00586637" w:rsidRPr="00586637">
        <w:rPr>
          <w:rFonts w:ascii="Times New Roman" w:hAnsi="Times New Roman"/>
          <w:b/>
          <w:bCs/>
          <w:i/>
          <w:noProof/>
          <w:sz w:val="24"/>
          <w:szCs w:val="24"/>
          <w:u w:val="dotted"/>
        </w:rPr>
        <w:t> </w:t>
      </w:r>
      <w:r w:rsidR="00586637" w:rsidRPr="00586637">
        <w:rPr>
          <w:rFonts w:ascii="Times New Roman" w:hAnsi="Times New Roman"/>
          <w:b/>
          <w:bCs/>
          <w:i/>
          <w:noProof/>
          <w:sz w:val="24"/>
          <w:szCs w:val="24"/>
          <w:u w:val="dotted"/>
        </w:rPr>
        <w:t> </w:t>
      </w:r>
      <w:r w:rsidR="00586637" w:rsidRPr="00586637">
        <w:rPr>
          <w:rFonts w:ascii="Times New Roman" w:hAnsi="Times New Roman"/>
          <w:b/>
          <w:bCs/>
          <w:i/>
          <w:noProof/>
          <w:sz w:val="24"/>
          <w:szCs w:val="24"/>
          <w:u w:val="dotted"/>
        </w:rPr>
        <w:t> </w:t>
      </w:r>
      <w:r w:rsidR="00586637" w:rsidRPr="00586637">
        <w:rPr>
          <w:rFonts w:ascii="Times New Roman" w:hAnsi="Times New Roman"/>
          <w:b/>
          <w:bCs/>
          <w:i/>
          <w:sz w:val="24"/>
          <w:szCs w:val="24"/>
          <w:u w:val="dotted"/>
        </w:rPr>
        <w:fldChar w:fldCharType="end"/>
      </w:r>
      <w:r w:rsidR="00586637" w:rsidRPr="00586637">
        <w:rPr>
          <w:rFonts w:ascii="Times New Roman" w:hAnsi="Times New Roman"/>
          <w:b/>
          <w:bCs/>
          <w:i/>
          <w:sz w:val="24"/>
          <w:szCs w:val="24"/>
        </w:rPr>
        <w:t xml:space="preserve"> </w:t>
      </w:r>
      <w:r w:rsidR="00586637" w:rsidRPr="00586637">
        <w:rPr>
          <w:rFonts w:ascii="Times New Roman" w:hAnsi="Times New Roman"/>
          <w:i/>
          <w:sz w:val="24"/>
          <w:szCs w:val="24"/>
        </w:rPr>
        <w:t xml:space="preserve"> </w:t>
      </w:r>
      <w:r w:rsidRPr="00586637">
        <w:rPr>
          <w:rFonts w:ascii="Times New Roman" w:hAnsi="Times New Roman"/>
          <w:i/>
          <w:sz w:val="24"/>
          <w:szCs w:val="24"/>
        </w:rPr>
        <w:t>και εκπροσωπείται νόμιμα για την υπογραφή της παρούσας από τ</w:t>
      </w:r>
      <w:r w:rsidR="00586637" w:rsidRPr="00586637">
        <w:rPr>
          <w:rFonts w:ascii="Times New Roman" w:hAnsi="Times New Roman"/>
          <w:b/>
          <w:bCs/>
          <w:i/>
          <w:sz w:val="24"/>
          <w:szCs w:val="24"/>
          <w:u w:val="dotted"/>
        </w:rPr>
        <w:fldChar w:fldCharType="begin">
          <w:ffData>
            <w:name w:val=""/>
            <w:enabled/>
            <w:calcOnExit w:val="0"/>
            <w:textInput>
              <w:maxLength w:val="50"/>
            </w:textInput>
          </w:ffData>
        </w:fldChar>
      </w:r>
      <w:r w:rsidR="00586637" w:rsidRPr="00586637">
        <w:rPr>
          <w:rFonts w:ascii="Times New Roman" w:hAnsi="Times New Roman"/>
          <w:b/>
          <w:bCs/>
          <w:i/>
          <w:sz w:val="24"/>
          <w:szCs w:val="24"/>
          <w:u w:val="dotted"/>
        </w:rPr>
        <w:instrText xml:space="preserve"> FORMTEXT </w:instrText>
      </w:r>
      <w:r w:rsidR="00586637" w:rsidRPr="00586637">
        <w:rPr>
          <w:rFonts w:ascii="Times New Roman" w:hAnsi="Times New Roman"/>
          <w:b/>
          <w:bCs/>
          <w:i/>
          <w:sz w:val="24"/>
          <w:szCs w:val="24"/>
          <w:u w:val="dotted"/>
        </w:rPr>
      </w:r>
      <w:r w:rsidR="00586637" w:rsidRPr="00586637">
        <w:rPr>
          <w:rFonts w:ascii="Times New Roman" w:hAnsi="Times New Roman"/>
          <w:b/>
          <w:bCs/>
          <w:i/>
          <w:sz w:val="24"/>
          <w:szCs w:val="24"/>
          <w:u w:val="dotted"/>
        </w:rPr>
        <w:fldChar w:fldCharType="separate"/>
      </w:r>
      <w:r w:rsidR="00586637" w:rsidRPr="00586637">
        <w:rPr>
          <w:rFonts w:ascii="Times New Roman" w:hAnsi="Times New Roman"/>
          <w:b/>
          <w:bCs/>
          <w:i/>
          <w:noProof/>
          <w:sz w:val="24"/>
          <w:szCs w:val="24"/>
          <w:u w:val="dotted"/>
        </w:rPr>
        <w:t> </w:t>
      </w:r>
      <w:r w:rsidR="00586637" w:rsidRPr="00586637">
        <w:rPr>
          <w:rFonts w:ascii="Times New Roman" w:hAnsi="Times New Roman"/>
          <w:b/>
          <w:bCs/>
          <w:i/>
          <w:noProof/>
          <w:sz w:val="24"/>
          <w:szCs w:val="24"/>
          <w:u w:val="dotted"/>
        </w:rPr>
        <w:t> </w:t>
      </w:r>
      <w:r w:rsidR="00586637" w:rsidRPr="00586637">
        <w:rPr>
          <w:rFonts w:ascii="Times New Roman" w:hAnsi="Times New Roman"/>
          <w:b/>
          <w:bCs/>
          <w:i/>
          <w:noProof/>
          <w:sz w:val="24"/>
          <w:szCs w:val="24"/>
          <w:u w:val="dotted"/>
        </w:rPr>
        <w:t> </w:t>
      </w:r>
      <w:r w:rsidR="00586637" w:rsidRPr="00586637">
        <w:rPr>
          <w:rFonts w:ascii="Times New Roman" w:hAnsi="Times New Roman"/>
          <w:b/>
          <w:bCs/>
          <w:i/>
          <w:noProof/>
          <w:sz w:val="24"/>
          <w:szCs w:val="24"/>
          <w:u w:val="dotted"/>
        </w:rPr>
        <w:t> </w:t>
      </w:r>
      <w:r w:rsidR="00586637" w:rsidRPr="00586637">
        <w:rPr>
          <w:rFonts w:ascii="Times New Roman" w:hAnsi="Times New Roman"/>
          <w:b/>
          <w:bCs/>
          <w:i/>
          <w:noProof/>
          <w:sz w:val="24"/>
          <w:szCs w:val="24"/>
          <w:u w:val="dotted"/>
        </w:rPr>
        <w:t> </w:t>
      </w:r>
      <w:r w:rsidR="00586637" w:rsidRPr="00586637">
        <w:rPr>
          <w:rFonts w:ascii="Times New Roman" w:hAnsi="Times New Roman"/>
          <w:b/>
          <w:bCs/>
          <w:i/>
          <w:sz w:val="24"/>
          <w:szCs w:val="24"/>
          <w:u w:val="dotted"/>
        </w:rPr>
        <w:fldChar w:fldCharType="end"/>
      </w:r>
      <w:r w:rsidR="00586637" w:rsidRPr="00586637">
        <w:rPr>
          <w:rFonts w:ascii="Times New Roman" w:hAnsi="Times New Roman"/>
          <w:b/>
          <w:bCs/>
          <w:i/>
          <w:sz w:val="24"/>
          <w:szCs w:val="24"/>
          <w:u w:val="dotted"/>
        </w:rPr>
        <w:t xml:space="preserve"> </w:t>
      </w:r>
      <w:r w:rsidR="00586637" w:rsidRPr="00586637">
        <w:rPr>
          <w:rFonts w:ascii="Times New Roman" w:hAnsi="Times New Roman"/>
          <w:b/>
          <w:bCs/>
          <w:i/>
          <w:sz w:val="24"/>
          <w:szCs w:val="24"/>
          <w:u w:val="dotted"/>
        </w:rPr>
        <w:fldChar w:fldCharType="begin">
          <w:ffData>
            <w:name w:val=""/>
            <w:enabled/>
            <w:calcOnExit w:val="0"/>
            <w:textInput>
              <w:maxLength w:val="50"/>
            </w:textInput>
          </w:ffData>
        </w:fldChar>
      </w:r>
      <w:r w:rsidR="00586637" w:rsidRPr="00586637">
        <w:rPr>
          <w:rFonts w:ascii="Times New Roman" w:hAnsi="Times New Roman"/>
          <w:b/>
          <w:bCs/>
          <w:i/>
          <w:sz w:val="24"/>
          <w:szCs w:val="24"/>
          <w:u w:val="dotted"/>
        </w:rPr>
        <w:instrText xml:space="preserve"> FORMTEXT </w:instrText>
      </w:r>
      <w:r w:rsidR="00586637" w:rsidRPr="00586637">
        <w:rPr>
          <w:rFonts w:ascii="Times New Roman" w:hAnsi="Times New Roman"/>
          <w:b/>
          <w:bCs/>
          <w:i/>
          <w:sz w:val="24"/>
          <w:szCs w:val="24"/>
          <w:u w:val="dotted"/>
        </w:rPr>
      </w:r>
      <w:r w:rsidR="00586637" w:rsidRPr="00586637">
        <w:rPr>
          <w:rFonts w:ascii="Times New Roman" w:hAnsi="Times New Roman"/>
          <w:b/>
          <w:bCs/>
          <w:i/>
          <w:sz w:val="24"/>
          <w:szCs w:val="24"/>
          <w:u w:val="dotted"/>
        </w:rPr>
        <w:fldChar w:fldCharType="separate"/>
      </w:r>
      <w:r w:rsidR="00586637" w:rsidRPr="00586637">
        <w:rPr>
          <w:rFonts w:ascii="Times New Roman" w:hAnsi="Times New Roman"/>
          <w:b/>
          <w:bCs/>
          <w:i/>
          <w:noProof/>
          <w:sz w:val="24"/>
          <w:szCs w:val="24"/>
          <w:u w:val="dotted"/>
        </w:rPr>
        <w:t> </w:t>
      </w:r>
      <w:r w:rsidR="00586637" w:rsidRPr="00586637">
        <w:rPr>
          <w:rFonts w:ascii="Times New Roman" w:hAnsi="Times New Roman"/>
          <w:b/>
          <w:bCs/>
          <w:i/>
          <w:noProof/>
          <w:sz w:val="24"/>
          <w:szCs w:val="24"/>
          <w:u w:val="dotted"/>
        </w:rPr>
        <w:t> </w:t>
      </w:r>
      <w:r w:rsidR="00586637" w:rsidRPr="00586637">
        <w:rPr>
          <w:rFonts w:ascii="Times New Roman" w:hAnsi="Times New Roman"/>
          <w:b/>
          <w:bCs/>
          <w:i/>
          <w:noProof/>
          <w:sz w:val="24"/>
          <w:szCs w:val="24"/>
          <w:u w:val="dotted"/>
        </w:rPr>
        <w:t> </w:t>
      </w:r>
      <w:r w:rsidR="00586637" w:rsidRPr="00586637">
        <w:rPr>
          <w:rFonts w:ascii="Times New Roman" w:hAnsi="Times New Roman"/>
          <w:b/>
          <w:bCs/>
          <w:i/>
          <w:noProof/>
          <w:sz w:val="24"/>
          <w:szCs w:val="24"/>
          <w:u w:val="dotted"/>
        </w:rPr>
        <w:t> </w:t>
      </w:r>
      <w:r w:rsidR="00586637" w:rsidRPr="00586637">
        <w:rPr>
          <w:rFonts w:ascii="Times New Roman" w:hAnsi="Times New Roman"/>
          <w:b/>
          <w:bCs/>
          <w:i/>
          <w:noProof/>
          <w:sz w:val="24"/>
          <w:szCs w:val="24"/>
          <w:u w:val="dotted"/>
        </w:rPr>
        <w:t> </w:t>
      </w:r>
      <w:r w:rsidR="00586637" w:rsidRPr="00586637">
        <w:rPr>
          <w:rFonts w:ascii="Times New Roman" w:hAnsi="Times New Roman"/>
          <w:b/>
          <w:bCs/>
          <w:i/>
          <w:sz w:val="24"/>
          <w:szCs w:val="24"/>
          <w:u w:val="dotted"/>
        </w:rPr>
        <w:fldChar w:fldCharType="end"/>
      </w:r>
      <w:r w:rsidRPr="00586637">
        <w:rPr>
          <w:rFonts w:ascii="Times New Roman" w:hAnsi="Times New Roman"/>
          <w:i/>
          <w:sz w:val="24"/>
          <w:szCs w:val="24"/>
        </w:rPr>
        <w:t xml:space="preserve"> το οποίο έχει την ιδιότητα του Μέλους στην Αγορά </w:t>
      </w:r>
      <w:r w:rsidR="00586637" w:rsidRPr="00586637">
        <w:rPr>
          <w:rFonts w:ascii="Times New Roman" w:hAnsi="Times New Roman"/>
          <w:b/>
          <w:bCs/>
          <w:i/>
          <w:sz w:val="24"/>
          <w:szCs w:val="24"/>
          <w:u w:val="dotted"/>
        </w:rPr>
        <w:fldChar w:fldCharType="begin">
          <w:ffData>
            <w:name w:val=""/>
            <w:enabled/>
            <w:calcOnExit w:val="0"/>
            <w:textInput>
              <w:maxLength w:val="50"/>
            </w:textInput>
          </w:ffData>
        </w:fldChar>
      </w:r>
      <w:r w:rsidR="00586637" w:rsidRPr="00586637">
        <w:rPr>
          <w:rFonts w:ascii="Times New Roman" w:hAnsi="Times New Roman"/>
          <w:b/>
          <w:bCs/>
          <w:i/>
          <w:sz w:val="24"/>
          <w:szCs w:val="24"/>
          <w:u w:val="dotted"/>
        </w:rPr>
        <w:instrText xml:space="preserve"> FORMTEXT </w:instrText>
      </w:r>
      <w:r w:rsidR="00586637" w:rsidRPr="00586637">
        <w:rPr>
          <w:rFonts w:ascii="Times New Roman" w:hAnsi="Times New Roman"/>
          <w:b/>
          <w:bCs/>
          <w:i/>
          <w:sz w:val="24"/>
          <w:szCs w:val="24"/>
          <w:u w:val="dotted"/>
        </w:rPr>
      </w:r>
      <w:r w:rsidR="00586637" w:rsidRPr="00586637">
        <w:rPr>
          <w:rFonts w:ascii="Times New Roman" w:hAnsi="Times New Roman"/>
          <w:b/>
          <w:bCs/>
          <w:i/>
          <w:sz w:val="24"/>
          <w:szCs w:val="24"/>
          <w:u w:val="dotted"/>
        </w:rPr>
        <w:fldChar w:fldCharType="separate"/>
      </w:r>
      <w:r w:rsidR="00586637" w:rsidRPr="00586637">
        <w:rPr>
          <w:rFonts w:ascii="Times New Roman" w:hAnsi="Times New Roman"/>
          <w:b/>
          <w:bCs/>
          <w:i/>
          <w:noProof/>
          <w:sz w:val="24"/>
          <w:szCs w:val="24"/>
          <w:u w:val="dotted"/>
        </w:rPr>
        <w:t> </w:t>
      </w:r>
      <w:r w:rsidR="00586637" w:rsidRPr="00586637">
        <w:rPr>
          <w:rFonts w:ascii="Times New Roman" w:hAnsi="Times New Roman"/>
          <w:b/>
          <w:bCs/>
          <w:i/>
          <w:noProof/>
          <w:sz w:val="24"/>
          <w:szCs w:val="24"/>
          <w:u w:val="dotted"/>
        </w:rPr>
        <w:t> </w:t>
      </w:r>
      <w:r w:rsidR="00586637" w:rsidRPr="00586637">
        <w:rPr>
          <w:rFonts w:ascii="Times New Roman" w:hAnsi="Times New Roman"/>
          <w:b/>
          <w:bCs/>
          <w:i/>
          <w:noProof/>
          <w:sz w:val="24"/>
          <w:szCs w:val="24"/>
          <w:u w:val="dotted"/>
        </w:rPr>
        <w:t> </w:t>
      </w:r>
      <w:r w:rsidR="00586637" w:rsidRPr="00586637">
        <w:rPr>
          <w:rFonts w:ascii="Times New Roman" w:hAnsi="Times New Roman"/>
          <w:b/>
          <w:bCs/>
          <w:i/>
          <w:noProof/>
          <w:sz w:val="24"/>
          <w:szCs w:val="24"/>
          <w:u w:val="dotted"/>
        </w:rPr>
        <w:t> </w:t>
      </w:r>
      <w:r w:rsidR="00586637" w:rsidRPr="00586637">
        <w:rPr>
          <w:rFonts w:ascii="Times New Roman" w:hAnsi="Times New Roman"/>
          <w:b/>
          <w:bCs/>
          <w:i/>
          <w:noProof/>
          <w:sz w:val="24"/>
          <w:szCs w:val="24"/>
          <w:u w:val="dotted"/>
        </w:rPr>
        <w:t> </w:t>
      </w:r>
      <w:r w:rsidR="00586637" w:rsidRPr="00586637">
        <w:rPr>
          <w:rFonts w:ascii="Times New Roman" w:hAnsi="Times New Roman"/>
          <w:b/>
          <w:bCs/>
          <w:i/>
          <w:sz w:val="24"/>
          <w:szCs w:val="24"/>
          <w:u w:val="dotted"/>
        </w:rPr>
        <w:fldChar w:fldCharType="end"/>
      </w:r>
      <w:r w:rsidR="00586637" w:rsidRPr="00586637">
        <w:rPr>
          <w:rFonts w:ascii="Times New Roman" w:hAnsi="Times New Roman"/>
          <w:b/>
          <w:bCs/>
          <w:i/>
          <w:sz w:val="24"/>
          <w:szCs w:val="24"/>
        </w:rPr>
        <w:t xml:space="preserve">  </w:t>
      </w:r>
      <w:r w:rsidRPr="00586637">
        <w:rPr>
          <w:rFonts w:ascii="Times New Roman" w:hAnsi="Times New Roman"/>
          <w:i/>
          <w:sz w:val="24"/>
          <w:szCs w:val="24"/>
        </w:rPr>
        <w:t>του Χ.Α. και θα ενεργεί ως Μέλος Η.ΒΙ.Π.</w:t>
      </w:r>
    </w:p>
    <w:p w:rsidR="00A53B4B" w:rsidRPr="00586637" w:rsidRDefault="00A53B4B" w:rsidP="00A53B4B">
      <w:pPr>
        <w:autoSpaceDE w:val="0"/>
        <w:autoSpaceDN w:val="0"/>
        <w:adjustRightInd w:val="0"/>
        <w:rPr>
          <w:rFonts w:ascii="Times New Roman" w:hAnsi="Times New Roman"/>
          <w:i/>
          <w:sz w:val="24"/>
          <w:szCs w:val="24"/>
        </w:rPr>
      </w:pPr>
      <w:r w:rsidRPr="00586637">
        <w:rPr>
          <w:rFonts w:ascii="Times New Roman" w:hAnsi="Times New Roman"/>
          <w:i/>
          <w:sz w:val="24"/>
          <w:szCs w:val="24"/>
        </w:rPr>
        <w:t>Λαμβάνοντας υπόψη:</w:t>
      </w:r>
    </w:p>
    <w:p w:rsidR="00A53B4B" w:rsidRPr="00B8354A" w:rsidRDefault="00A53B4B" w:rsidP="00A53B4B">
      <w:pPr>
        <w:pStyle w:val="ListParagraph"/>
        <w:numPr>
          <w:ilvl w:val="2"/>
          <w:numId w:val="2"/>
        </w:numPr>
        <w:tabs>
          <w:tab w:val="left" w:pos="426"/>
        </w:tabs>
        <w:autoSpaceDE w:val="0"/>
        <w:autoSpaceDN w:val="0"/>
        <w:adjustRightInd w:val="0"/>
        <w:ind w:left="426" w:hanging="322"/>
        <w:rPr>
          <w:rFonts w:asciiTheme="majorBidi" w:hAnsiTheme="majorBidi" w:cstheme="majorBidi"/>
          <w:i/>
          <w:sz w:val="24"/>
          <w:szCs w:val="24"/>
        </w:rPr>
      </w:pPr>
      <w:r w:rsidRPr="00B8354A">
        <w:rPr>
          <w:rFonts w:asciiTheme="majorBidi" w:hAnsiTheme="majorBidi" w:cstheme="majorBidi"/>
          <w:i/>
          <w:sz w:val="24"/>
          <w:szCs w:val="24"/>
        </w:rPr>
        <w:t xml:space="preserve">την απόφαση </w:t>
      </w:r>
      <w:r w:rsidR="00B8354A" w:rsidRPr="00B8354A">
        <w:rPr>
          <w:rFonts w:asciiTheme="majorBidi" w:hAnsiTheme="majorBidi" w:cstheme="majorBidi"/>
          <w:i/>
          <w:sz w:val="24"/>
          <w:szCs w:val="24"/>
        </w:rPr>
        <w:t>19/776/13.2.2017 «Προσδιορισμός της τιμής, της απόδοσης και του επιτοκίου διάθεσης ομολογιών, όταν διατίθενται με δημόσια προσφορά και κατανομή αυτών στους επενδυτές»</w:t>
      </w:r>
      <w:r w:rsidR="00B8354A">
        <w:rPr>
          <w:rFonts w:asciiTheme="majorBidi" w:hAnsiTheme="majorBidi" w:cstheme="majorBidi"/>
          <w:i/>
          <w:sz w:val="24"/>
          <w:szCs w:val="24"/>
        </w:rPr>
        <w:t xml:space="preserve"> του Διοικητικού Συμβουλίου </w:t>
      </w:r>
      <w:r w:rsidRPr="00B8354A">
        <w:rPr>
          <w:rFonts w:asciiTheme="majorBidi" w:hAnsiTheme="majorBidi" w:cstheme="majorBidi"/>
          <w:i/>
          <w:sz w:val="24"/>
          <w:szCs w:val="24"/>
        </w:rPr>
        <w:t xml:space="preserve">της Επιτροπής Κεφαλαιαγοράς </w:t>
      </w:r>
    </w:p>
    <w:p w:rsidR="00A53B4B" w:rsidRDefault="00A53B4B" w:rsidP="00A53B4B">
      <w:pPr>
        <w:pStyle w:val="ListParagraph"/>
        <w:numPr>
          <w:ilvl w:val="2"/>
          <w:numId w:val="2"/>
        </w:numPr>
        <w:tabs>
          <w:tab w:val="left" w:pos="426"/>
        </w:tabs>
        <w:autoSpaceDE w:val="0"/>
        <w:autoSpaceDN w:val="0"/>
        <w:adjustRightInd w:val="0"/>
        <w:ind w:left="426" w:hanging="322"/>
        <w:rPr>
          <w:rFonts w:asciiTheme="majorBidi" w:hAnsiTheme="majorBidi" w:cstheme="majorBidi"/>
          <w:i/>
          <w:sz w:val="24"/>
          <w:szCs w:val="24"/>
        </w:rPr>
      </w:pPr>
      <w:r>
        <w:rPr>
          <w:rFonts w:asciiTheme="majorBidi" w:hAnsiTheme="majorBidi" w:cstheme="majorBidi"/>
          <w:i/>
          <w:sz w:val="24"/>
          <w:szCs w:val="24"/>
        </w:rPr>
        <w:t xml:space="preserve">το άρθρο 2.5.1.1. του Κανονισμού Χρηματιστηρίου Αθηνών και τους όρους της Ενότητας 4 των Κανόνων Λειτουργίας της ΕΝ.Α. (εφεξής από κοινού ο «Κανονισμός») </w:t>
      </w:r>
    </w:p>
    <w:p w:rsidR="00A53B4B" w:rsidRDefault="00A53B4B" w:rsidP="00B2415B">
      <w:pPr>
        <w:pStyle w:val="ListParagraph"/>
        <w:numPr>
          <w:ilvl w:val="2"/>
          <w:numId w:val="2"/>
        </w:numPr>
        <w:tabs>
          <w:tab w:val="left" w:pos="426"/>
        </w:tabs>
        <w:autoSpaceDE w:val="0"/>
        <w:autoSpaceDN w:val="0"/>
        <w:adjustRightInd w:val="0"/>
        <w:ind w:left="426" w:hanging="322"/>
        <w:rPr>
          <w:rFonts w:asciiTheme="majorBidi" w:hAnsiTheme="majorBidi" w:cstheme="majorBidi"/>
          <w:i/>
          <w:sz w:val="24"/>
          <w:szCs w:val="24"/>
        </w:rPr>
      </w:pPr>
      <w:r>
        <w:rPr>
          <w:rFonts w:asciiTheme="majorBidi" w:hAnsiTheme="majorBidi" w:cstheme="majorBidi"/>
          <w:i/>
          <w:sz w:val="24"/>
          <w:szCs w:val="24"/>
        </w:rPr>
        <w:t>την απόφαση 34/</w:t>
      </w:r>
      <w:r>
        <w:rPr>
          <w:rFonts w:asciiTheme="majorBidi" w:hAnsiTheme="majorBidi" w:cstheme="majorBidi"/>
          <w:i/>
          <w:sz w:val="24"/>
          <w:szCs w:val="24"/>
        </w:rPr>
        <w:fldChar w:fldCharType="begin"/>
      </w:r>
      <w:r>
        <w:rPr>
          <w:rFonts w:asciiTheme="majorBidi" w:hAnsiTheme="majorBidi" w:cstheme="majorBidi"/>
          <w:i/>
          <w:sz w:val="24"/>
          <w:szCs w:val="24"/>
        </w:rPr>
        <w:instrText xml:space="preserve"> DOCPROPERTY  ValidatedDate  \* MERGEFORMAT </w:instrText>
      </w:r>
      <w:r>
        <w:rPr>
          <w:rFonts w:asciiTheme="majorBidi" w:hAnsiTheme="majorBidi" w:cstheme="majorBidi"/>
          <w:i/>
          <w:sz w:val="24"/>
          <w:szCs w:val="24"/>
        </w:rPr>
        <w:fldChar w:fldCharType="separate"/>
      </w:r>
      <w:r>
        <w:rPr>
          <w:rFonts w:asciiTheme="majorBidi" w:hAnsiTheme="majorBidi" w:cstheme="majorBidi"/>
          <w:i/>
          <w:sz w:val="24"/>
          <w:szCs w:val="24"/>
        </w:rPr>
        <w:t>8/3/2017</w:t>
      </w:r>
      <w:r>
        <w:rPr>
          <w:rFonts w:asciiTheme="majorBidi" w:hAnsiTheme="majorBidi" w:cstheme="majorBidi"/>
          <w:i/>
          <w:sz w:val="24"/>
          <w:szCs w:val="24"/>
        </w:rPr>
        <w:fldChar w:fldCharType="end"/>
      </w:r>
      <w:r w:rsidR="00B8354A">
        <w:rPr>
          <w:rFonts w:asciiTheme="majorBidi" w:hAnsiTheme="majorBidi" w:cstheme="majorBidi"/>
          <w:i/>
          <w:sz w:val="24"/>
          <w:szCs w:val="24"/>
        </w:rPr>
        <w:t xml:space="preserve"> </w:t>
      </w:r>
      <w:r>
        <w:rPr>
          <w:rFonts w:asciiTheme="majorBidi" w:hAnsiTheme="majorBidi" w:cstheme="majorBidi"/>
          <w:i/>
          <w:sz w:val="24"/>
          <w:szCs w:val="24"/>
        </w:rPr>
        <w:t>της Διοικούσας Επιτροπής Χρηματιστηριακών Αγορών του Χρηματιστηρίου Αθηνών «Υπηρεσία κατάρτισης Ηλεκτρονικού Βιβλίου Προσφορών – Η.ΒΙ.Π.», όπως ισχύει (εφεξής η «Απόφαση 34 του Χ.Α.»</w:t>
      </w:r>
      <w:r w:rsidR="00B8354A">
        <w:rPr>
          <w:rFonts w:asciiTheme="majorBidi" w:hAnsiTheme="majorBidi" w:cstheme="majorBidi"/>
          <w:i/>
          <w:sz w:val="24"/>
          <w:szCs w:val="24"/>
        </w:rPr>
        <w:t>)</w:t>
      </w:r>
    </w:p>
    <w:p w:rsidR="00A53B4B" w:rsidRPr="00F76667" w:rsidRDefault="00B8354A" w:rsidP="00B2415B">
      <w:pPr>
        <w:pStyle w:val="ListParagraph"/>
        <w:numPr>
          <w:ilvl w:val="2"/>
          <w:numId w:val="2"/>
        </w:numPr>
        <w:tabs>
          <w:tab w:val="left" w:pos="426"/>
        </w:tabs>
        <w:autoSpaceDE w:val="0"/>
        <w:autoSpaceDN w:val="0"/>
        <w:adjustRightInd w:val="0"/>
        <w:ind w:left="426" w:hanging="322"/>
        <w:rPr>
          <w:rFonts w:asciiTheme="majorBidi" w:hAnsiTheme="majorBidi" w:cstheme="majorBidi"/>
          <w:i/>
          <w:sz w:val="24"/>
          <w:szCs w:val="24"/>
        </w:rPr>
      </w:pPr>
      <w:r w:rsidRPr="00F76667">
        <w:rPr>
          <w:rFonts w:asciiTheme="majorBidi" w:hAnsiTheme="majorBidi" w:cstheme="majorBidi"/>
          <w:i/>
          <w:sz w:val="24"/>
          <w:szCs w:val="24"/>
        </w:rPr>
        <w:t>τ</w:t>
      </w:r>
      <w:r w:rsidR="00073C30" w:rsidRPr="00F76667">
        <w:rPr>
          <w:rFonts w:asciiTheme="majorBidi" w:hAnsiTheme="majorBidi" w:cstheme="majorBidi"/>
          <w:i/>
          <w:sz w:val="24"/>
          <w:szCs w:val="24"/>
        </w:rPr>
        <w:t xml:space="preserve">ο Πρόγραμμα Έκδοσης Κοινού Ομολογιακού Δανείου </w:t>
      </w:r>
      <w:r w:rsidR="00F76667" w:rsidRPr="00D72579">
        <w:rPr>
          <w:rFonts w:asciiTheme="majorBidi" w:hAnsiTheme="majorBidi" w:cstheme="majorBidi"/>
          <w:i/>
          <w:sz w:val="24"/>
          <w:szCs w:val="24"/>
        </w:rPr>
        <w:t xml:space="preserve">συνολικού ποσού έως €200.000.000, διάρκειας πέντε (5) ετών, διαιρούμενου σε έως 200.000 άυλες, </w:t>
      </w:r>
      <w:r w:rsidR="00F76667" w:rsidRPr="00D72579">
        <w:rPr>
          <w:rFonts w:asciiTheme="majorBidi" w:hAnsiTheme="majorBidi" w:cstheme="majorBidi"/>
          <w:i/>
          <w:sz w:val="24"/>
          <w:szCs w:val="24"/>
        </w:rPr>
        <w:lastRenderedPageBreak/>
        <w:t>κοινές, ανώνυμες ομολογίες με ονομαστική αξία €1.0</w:t>
      </w:r>
      <w:r w:rsidR="00D72579">
        <w:rPr>
          <w:rFonts w:asciiTheme="majorBidi" w:hAnsiTheme="majorBidi" w:cstheme="majorBidi"/>
          <w:i/>
          <w:sz w:val="24"/>
          <w:szCs w:val="24"/>
        </w:rPr>
        <w:t>0</w:t>
      </w:r>
      <w:r w:rsidR="00F76667" w:rsidRPr="00D72579">
        <w:rPr>
          <w:rFonts w:asciiTheme="majorBidi" w:hAnsiTheme="majorBidi" w:cstheme="majorBidi"/>
          <w:i/>
          <w:sz w:val="24"/>
          <w:szCs w:val="24"/>
        </w:rPr>
        <w:t>0 εκάστη</w:t>
      </w:r>
      <w:r w:rsidR="00F76667">
        <w:rPr>
          <w:rFonts w:asciiTheme="majorBidi" w:hAnsiTheme="majorBidi" w:cstheme="majorBidi"/>
          <w:i/>
          <w:sz w:val="24"/>
          <w:szCs w:val="24"/>
        </w:rPr>
        <w:t>. Οι όροι της δημόσιας προσφοράς παρατίθενται στο από 8.3.2017 εγκεκριμένο Ενημερωτικό Δελτίο</w:t>
      </w:r>
      <w:r w:rsidR="00073C30" w:rsidRPr="00F76667">
        <w:rPr>
          <w:rFonts w:asciiTheme="majorBidi" w:hAnsiTheme="majorBidi" w:cstheme="majorBidi"/>
          <w:i/>
          <w:sz w:val="24"/>
          <w:szCs w:val="24"/>
        </w:rPr>
        <w:t>.</w:t>
      </w:r>
      <w:r w:rsidR="00A53B4B" w:rsidRPr="00F76667">
        <w:rPr>
          <w:rFonts w:asciiTheme="majorBidi" w:hAnsiTheme="majorBidi" w:cstheme="majorBidi"/>
          <w:i/>
          <w:sz w:val="24"/>
          <w:szCs w:val="24"/>
        </w:rPr>
        <w:t xml:space="preserve"> (εφεξής το «Πρόγραμμα Άντλησης Κεφαλαίων») </w:t>
      </w:r>
      <w:r w:rsidR="00073C30" w:rsidRPr="00F76667">
        <w:rPr>
          <w:rFonts w:asciiTheme="majorBidi" w:hAnsiTheme="majorBidi" w:cstheme="majorBidi"/>
          <w:i/>
          <w:sz w:val="24"/>
          <w:szCs w:val="24"/>
        </w:rPr>
        <w:t>της «ΟΡΓΑΝΙΣΜΟΣ ΠΡΟΓΝΩΣΤΙΚΩΝ ΑΓΩΝΩΝ ΠΟΔΟΣΦΑΙΡΟΥ Α.E.»</w:t>
      </w:r>
      <w:r w:rsidR="00A53B4B" w:rsidRPr="00F76667">
        <w:rPr>
          <w:rFonts w:asciiTheme="majorBidi" w:hAnsiTheme="majorBidi" w:cstheme="majorBidi"/>
          <w:i/>
          <w:sz w:val="24"/>
          <w:szCs w:val="24"/>
        </w:rPr>
        <w:t xml:space="preserve"> (εφεξής ο «Εκδότης»)</w:t>
      </w:r>
    </w:p>
    <w:p w:rsidR="00A53B4B" w:rsidRPr="00AC4703" w:rsidRDefault="00A53B4B" w:rsidP="00C73843">
      <w:pPr>
        <w:pStyle w:val="ListParagraph"/>
        <w:numPr>
          <w:ilvl w:val="2"/>
          <w:numId w:val="2"/>
        </w:numPr>
        <w:tabs>
          <w:tab w:val="left" w:pos="426"/>
        </w:tabs>
        <w:autoSpaceDE w:val="0"/>
        <w:autoSpaceDN w:val="0"/>
        <w:adjustRightInd w:val="0"/>
        <w:ind w:left="426" w:hanging="322"/>
        <w:rPr>
          <w:rFonts w:asciiTheme="majorBidi" w:hAnsiTheme="majorBidi" w:cstheme="majorBidi"/>
          <w:i/>
          <w:sz w:val="24"/>
          <w:szCs w:val="24"/>
        </w:rPr>
      </w:pPr>
      <w:r w:rsidRPr="00AC4703">
        <w:rPr>
          <w:rFonts w:asciiTheme="majorBidi" w:hAnsiTheme="majorBidi" w:cstheme="majorBidi"/>
          <w:i/>
          <w:sz w:val="24"/>
          <w:szCs w:val="24"/>
        </w:rPr>
        <w:t>τ</w:t>
      </w:r>
      <w:r w:rsidR="00073C30" w:rsidRPr="00AC4703">
        <w:rPr>
          <w:rFonts w:asciiTheme="majorBidi" w:hAnsiTheme="majorBidi" w:cstheme="majorBidi"/>
          <w:i/>
          <w:sz w:val="24"/>
          <w:szCs w:val="24"/>
        </w:rPr>
        <w:t xml:space="preserve">ην Τράπεζα </w:t>
      </w:r>
      <w:r w:rsidR="00073C30" w:rsidRPr="00AC4703">
        <w:rPr>
          <w:rFonts w:asciiTheme="majorBidi" w:hAnsiTheme="majorBidi" w:cstheme="majorBidi"/>
          <w:i/>
          <w:sz w:val="24"/>
          <w:szCs w:val="24"/>
          <w:lang w:val="en-US"/>
        </w:rPr>
        <w:t>Eurobank</w:t>
      </w:r>
      <w:r w:rsidR="00073C30" w:rsidRPr="00AC4703">
        <w:rPr>
          <w:rFonts w:asciiTheme="majorBidi" w:hAnsiTheme="majorBidi" w:cstheme="majorBidi"/>
          <w:i/>
          <w:sz w:val="24"/>
          <w:szCs w:val="24"/>
        </w:rPr>
        <w:t xml:space="preserve"> </w:t>
      </w:r>
      <w:r w:rsidR="00073C30" w:rsidRPr="00AC4703">
        <w:rPr>
          <w:rFonts w:asciiTheme="majorBidi" w:hAnsiTheme="majorBidi" w:cstheme="majorBidi"/>
          <w:i/>
          <w:sz w:val="24"/>
          <w:szCs w:val="24"/>
          <w:lang w:val="en-US"/>
        </w:rPr>
        <w:t>Ergasias</w:t>
      </w:r>
      <w:r w:rsidR="00073C30" w:rsidRPr="00AC4703">
        <w:rPr>
          <w:rFonts w:asciiTheme="majorBidi" w:hAnsiTheme="majorBidi" w:cstheme="majorBidi"/>
          <w:i/>
          <w:sz w:val="24"/>
          <w:szCs w:val="24"/>
        </w:rPr>
        <w:t xml:space="preserve"> Α.Ε και την Εθνική Τράπεζα της Ελλάδος Α.Ε. </w:t>
      </w:r>
      <w:r w:rsidRPr="00AC4703">
        <w:rPr>
          <w:rFonts w:asciiTheme="majorBidi" w:hAnsiTheme="majorBidi" w:cstheme="majorBidi"/>
          <w:i/>
          <w:sz w:val="24"/>
          <w:szCs w:val="24"/>
        </w:rPr>
        <w:t>όπου για τις ανάγκες κατάρτισης του Η.ΒΙ.Π. θα ενεργ</w:t>
      </w:r>
      <w:r w:rsidR="00073C30" w:rsidRPr="00AC4703">
        <w:rPr>
          <w:rFonts w:asciiTheme="majorBidi" w:hAnsiTheme="majorBidi" w:cstheme="majorBidi"/>
          <w:i/>
          <w:sz w:val="24"/>
          <w:szCs w:val="24"/>
        </w:rPr>
        <w:t>ούν</w:t>
      </w:r>
      <w:r w:rsidRPr="00AC4703">
        <w:rPr>
          <w:rFonts w:asciiTheme="majorBidi" w:hAnsiTheme="majorBidi" w:cstheme="majorBidi"/>
          <w:i/>
          <w:sz w:val="24"/>
          <w:szCs w:val="24"/>
        </w:rPr>
        <w:t xml:space="preserve"> ως «Συντονιστ</w:t>
      </w:r>
      <w:r w:rsidR="00073C30" w:rsidRPr="00AC4703">
        <w:rPr>
          <w:rFonts w:asciiTheme="majorBidi" w:hAnsiTheme="majorBidi" w:cstheme="majorBidi"/>
          <w:i/>
          <w:sz w:val="24"/>
          <w:szCs w:val="24"/>
        </w:rPr>
        <w:t>έ</w:t>
      </w:r>
      <w:r w:rsidRPr="00AC4703">
        <w:rPr>
          <w:rFonts w:asciiTheme="majorBidi" w:hAnsiTheme="majorBidi" w:cstheme="majorBidi"/>
          <w:i/>
          <w:sz w:val="24"/>
          <w:szCs w:val="24"/>
        </w:rPr>
        <w:t>ς»</w:t>
      </w:r>
    </w:p>
    <w:p w:rsidR="00A53B4B" w:rsidRDefault="00A53B4B" w:rsidP="00A53B4B">
      <w:pPr>
        <w:autoSpaceDE w:val="0"/>
        <w:autoSpaceDN w:val="0"/>
        <w:adjustRightInd w:val="0"/>
        <w:jc w:val="center"/>
        <w:rPr>
          <w:rFonts w:asciiTheme="majorBidi" w:hAnsiTheme="majorBidi" w:cstheme="majorBidi"/>
          <w:b/>
          <w:i/>
          <w:sz w:val="24"/>
          <w:szCs w:val="24"/>
        </w:rPr>
      </w:pPr>
      <w:r>
        <w:rPr>
          <w:rFonts w:asciiTheme="majorBidi" w:hAnsiTheme="majorBidi" w:cstheme="majorBidi"/>
          <w:b/>
          <w:i/>
          <w:sz w:val="24"/>
          <w:szCs w:val="24"/>
        </w:rPr>
        <w:t>Δηλώνω με την παρούσα</w:t>
      </w:r>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t>Ότι θα συμμετάσχω ως Μέλος Η.ΒΙ.Π. στη διαδικασία Η.ΒΙ.Π. που θα διεξάγ</w:t>
      </w:r>
      <w:r w:rsidR="00B8354A">
        <w:rPr>
          <w:rFonts w:asciiTheme="majorBidi" w:hAnsiTheme="majorBidi" w:cstheme="majorBidi"/>
          <w:i/>
          <w:sz w:val="24"/>
          <w:szCs w:val="24"/>
        </w:rPr>
        <w:t>ουν</w:t>
      </w:r>
      <w:r>
        <w:rPr>
          <w:rFonts w:asciiTheme="majorBidi" w:hAnsiTheme="majorBidi" w:cstheme="majorBidi"/>
          <w:i/>
          <w:sz w:val="24"/>
          <w:szCs w:val="24"/>
        </w:rPr>
        <w:t xml:space="preserve"> ο</w:t>
      </w:r>
      <w:r w:rsidR="00B8354A">
        <w:rPr>
          <w:rFonts w:asciiTheme="majorBidi" w:hAnsiTheme="majorBidi" w:cstheme="majorBidi"/>
          <w:i/>
          <w:sz w:val="24"/>
          <w:szCs w:val="24"/>
        </w:rPr>
        <w:t>ι</w:t>
      </w:r>
      <w:r>
        <w:rPr>
          <w:rFonts w:asciiTheme="majorBidi" w:hAnsiTheme="majorBidi" w:cstheme="majorBidi"/>
          <w:i/>
          <w:sz w:val="24"/>
          <w:szCs w:val="24"/>
        </w:rPr>
        <w:t xml:space="preserve"> </w:t>
      </w:r>
      <w:r w:rsidR="00B8354A">
        <w:rPr>
          <w:rFonts w:asciiTheme="majorBidi" w:hAnsiTheme="majorBidi" w:cstheme="majorBidi"/>
          <w:i/>
          <w:sz w:val="24"/>
          <w:szCs w:val="24"/>
        </w:rPr>
        <w:t xml:space="preserve">Συντονιστές </w:t>
      </w:r>
      <w:r>
        <w:rPr>
          <w:rFonts w:asciiTheme="majorBidi" w:hAnsiTheme="majorBidi" w:cstheme="majorBidi"/>
          <w:i/>
          <w:sz w:val="24"/>
          <w:szCs w:val="24"/>
        </w:rPr>
        <w:t xml:space="preserve">για το Πρόγραμμα Άντλησης Κεφαλαίων του Εκδότη και θα τηρώ τις υποχρεώσεις μου σύμφωνα με τους όρους της Απόφασης 34 του Χ.Α. και τις τυχόν συμφωνίες που θα συνάπτω με </w:t>
      </w:r>
      <w:r w:rsidR="00B8354A">
        <w:rPr>
          <w:rFonts w:asciiTheme="majorBidi" w:hAnsiTheme="majorBidi" w:cstheme="majorBidi"/>
          <w:i/>
          <w:sz w:val="24"/>
          <w:szCs w:val="24"/>
        </w:rPr>
        <w:t xml:space="preserve">τους </w:t>
      </w:r>
      <w:r>
        <w:rPr>
          <w:rFonts w:asciiTheme="majorBidi" w:hAnsiTheme="majorBidi" w:cstheme="majorBidi"/>
          <w:i/>
          <w:sz w:val="24"/>
          <w:szCs w:val="24"/>
        </w:rPr>
        <w:t>Συντονιστ</w:t>
      </w:r>
      <w:r w:rsidR="00B8354A">
        <w:rPr>
          <w:rFonts w:asciiTheme="majorBidi" w:hAnsiTheme="majorBidi" w:cstheme="majorBidi"/>
          <w:i/>
          <w:sz w:val="24"/>
          <w:szCs w:val="24"/>
        </w:rPr>
        <w:t>ές</w:t>
      </w:r>
      <w:r>
        <w:rPr>
          <w:rFonts w:asciiTheme="majorBidi" w:hAnsiTheme="majorBidi" w:cstheme="majorBidi"/>
          <w:i/>
          <w:sz w:val="24"/>
          <w:szCs w:val="24"/>
        </w:rPr>
        <w:t xml:space="preserve">. Προς τούτο δηλώνω υπεύθυνα ότι αποδέχομαι ανεπιφύλακτα και θα τηρώ τους Ειδικούς Όρους Παροχής Υπηρεσιών Μέλους Η.ΒΙ.Π., όπως πιο κάτω ορίζονται, έχοντας πλήρη επίγνωση των πάσης φύσεως υποχρεώσεών μου που απορρέουν από αυτούς. </w:t>
      </w:r>
    </w:p>
    <w:p w:rsidR="00A53B4B" w:rsidRDefault="00A53B4B" w:rsidP="00A53B4B">
      <w:pPr>
        <w:pBdr>
          <w:top w:val="single" w:sz="4" w:space="1" w:color="auto"/>
          <w:left w:val="single" w:sz="4" w:space="0" w:color="auto"/>
          <w:bottom w:val="single" w:sz="4" w:space="1" w:color="auto"/>
          <w:right w:val="single" w:sz="4" w:space="4" w:color="auto"/>
        </w:pBdr>
        <w:autoSpaceDE w:val="0"/>
        <w:autoSpaceDN w:val="0"/>
        <w:adjustRightInd w:val="0"/>
        <w:jc w:val="center"/>
        <w:rPr>
          <w:rFonts w:asciiTheme="majorBidi" w:hAnsiTheme="majorBidi" w:cstheme="majorBidi"/>
          <w:b/>
          <w:i/>
          <w:sz w:val="24"/>
          <w:szCs w:val="24"/>
        </w:rPr>
      </w:pPr>
      <w:r>
        <w:rPr>
          <w:rFonts w:asciiTheme="majorBidi" w:hAnsiTheme="majorBidi" w:cstheme="majorBidi"/>
          <w:b/>
          <w:i/>
          <w:sz w:val="24"/>
          <w:szCs w:val="24"/>
        </w:rPr>
        <w:t>ΕΙΔΙΚΟΙ ΟΡΟΙ ΠΑΡΟΧΗΣ ΥΠΗΡΕΣΙΩΝ ΜΕΛΟΥΣ Η.ΒΙ.Π.</w:t>
      </w:r>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t>1.</w:t>
      </w:r>
      <w:r>
        <w:rPr>
          <w:rFonts w:asciiTheme="majorBidi" w:hAnsiTheme="majorBidi" w:cstheme="majorBidi"/>
          <w:i/>
          <w:sz w:val="24"/>
          <w:szCs w:val="24"/>
        </w:rPr>
        <w:tab/>
        <w:t xml:space="preserve">Για τις ανάγκες διασφάλισης της ομαλής και σύννομης ολοκλήρωσης του Προγράμματος Άντλησης Κεφαλαίων του Εκδότη και της διαδικασίας Η.ΒΙ.Π. στο Χ.Α., όπως έχει προγραμματιστεί να διεξαχθεί από </w:t>
      </w:r>
      <w:r w:rsidR="00B8354A">
        <w:rPr>
          <w:rFonts w:asciiTheme="majorBidi" w:hAnsiTheme="majorBidi" w:cstheme="majorBidi"/>
          <w:i/>
          <w:sz w:val="24"/>
          <w:szCs w:val="24"/>
        </w:rPr>
        <w:t xml:space="preserve">τους </w:t>
      </w:r>
      <w:r>
        <w:rPr>
          <w:rFonts w:asciiTheme="majorBidi" w:hAnsiTheme="majorBidi" w:cstheme="majorBidi"/>
          <w:i/>
          <w:sz w:val="24"/>
          <w:szCs w:val="24"/>
        </w:rPr>
        <w:t>Συντονιστ</w:t>
      </w:r>
      <w:r w:rsidR="00B8354A">
        <w:rPr>
          <w:rFonts w:asciiTheme="majorBidi" w:hAnsiTheme="majorBidi" w:cstheme="majorBidi"/>
          <w:i/>
          <w:sz w:val="24"/>
          <w:szCs w:val="24"/>
        </w:rPr>
        <w:t>ές</w:t>
      </w:r>
      <w:r>
        <w:rPr>
          <w:rFonts w:asciiTheme="majorBidi" w:hAnsiTheme="majorBidi" w:cstheme="majorBidi"/>
          <w:i/>
          <w:sz w:val="24"/>
          <w:szCs w:val="24"/>
        </w:rPr>
        <w:t xml:space="preserve"> σύμφωνα με τις κείμενες διατάξεις ιδίως τις ως άνω υπό (1) αναφερόμενες, ισχύουν οι παρακάτω Ειδικοί Όροι ως προς την παροχή υπηρεσιών Μέλους Η.ΒΙ.Π. και τη συμμετοχή του στη σχετική διαδικασία.</w:t>
      </w:r>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t>2.</w:t>
      </w:r>
      <w:r>
        <w:rPr>
          <w:rFonts w:asciiTheme="majorBidi" w:hAnsiTheme="majorBidi" w:cstheme="majorBidi"/>
          <w:i/>
          <w:sz w:val="24"/>
          <w:szCs w:val="24"/>
        </w:rPr>
        <w:tab/>
        <w:t>Το Μέλος Η.ΒΙ.Π. υποχρεούται:</w:t>
      </w:r>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t>2.1</w:t>
      </w:r>
      <w:r>
        <w:rPr>
          <w:rFonts w:asciiTheme="majorBidi" w:hAnsiTheme="majorBidi" w:cstheme="majorBidi"/>
          <w:i/>
          <w:sz w:val="24"/>
          <w:szCs w:val="24"/>
        </w:rPr>
        <w:tab/>
        <w:t>Να εισάγει στο Σύστημα τις δηλώσεις συμμετοχής ή εγγραφής (ή δηλώσεις βούλησης-κάλυψης) στο Η.ΒΙ.Π. για λογαριασμό των εντολέων/πελατών του ή για ίδιο λογαριασμό υπό μορφή προσφορών αγοράς (bids) με βάση τους όρους της Απόφασης 34 του Χ.Α., ενεργώντας πάντοτε σύμφωνα με τα προβλεπόμενα στο Πρόγραμμα Άντλησης Κεφαλαίων και τα όσα ορίζ</w:t>
      </w:r>
      <w:r w:rsidR="00B8354A">
        <w:rPr>
          <w:rFonts w:asciiTheme="majorBidi" w:hAnsiTheme="majorBidi" w:cstheme="majorBidi"/>
          <w:i/>
          <w:sz w:val="24"/>
          <w:szCs w:val="24"/>
        </w:rPr>
        <w:t>ουν</w:t>
      </w:r>
      <w:r>
        <w:rPr>
          <w:rFonts w:asciiTheme="majorBidi" w:hAnsiTheme="majorBidi" w:cstheme="majorBidi"/>
          <w:i/>
          <w:sz w:val="24"/>
          <w:szCs w:val="24"/>
        </w:rPr>
        <w:t xml:space="preserve"> ο</w:t>
      </w:r>
      <w:r w:rsidR="00B8354A">
        <w:rPr>
          <w:rFonts w:asciiTheme="majorBidi" w:hAnsiTheme="majorBidi" w:cstheme="majorBidi"/>
          <w:i/>
          <w:sz w:val="24"/>
          <w:szCs w:val="24"/>
        </w:rPr>
        <w:t>ι</w:t>
      </w:r>
      <w:r>
        <w:rPr>
          <w:rFonts w:asciiTheme="majorBidi" w:hAnsiTheme="majorBidi" w:cstheme="majorBidi"/>
          <w:i/>
          <w:sz w:val="24"/>
          <w:szCs w:val="24"/>
        </w:rPr>
        <w:t xml:space="preserve"> Συντονιστ</w:t>
      </w:r>
      <w:r w:rsidR="00B8354A">
        <w:rPr>
          <w:rFonts w:asciiTheme="majorBidi" w:hAnsiTheme="majorBidi" w:cstheme="majorBidi"/>
          <w:i/>
          <w:sz w:val="24"/>
          <w:szCs w:val="24"/>
        </w:rPr>
        <w:t>έ</w:t>
      </w:r>
      <w:r>
        <w:rPr>
          <w:rFonts w:asciiTheme="majorBidi" w:hAnsiTheme="majorBidi" w:cstheme="majorBidi"/>
          <w:i/>
          <w:sz w:val="24"/>
          <w:szCs w:val="24"/>
        </w:rPr>
        <w:t xml:space="preserve">ς. Το Μέλος Η.ΒΙ.Π. οφείλει επίσης να μεριμνά ώστε στη δήλωση συμμετοχής ή εγγραφής που λαμβάνει από τους επενδυτές (υπόχρεους κάλυψης) να γίνεται ρητή αναφορά ότι: </w:t>
      </w:r>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lastRenderedPageBreak/>
        <w:t xml:space="preserve">α) ο επενδυτής συμφωνεί να συμμετάσχει στη δημόσια προσφορά και αναλαμβάνει να καλύψει πρωτογενώς και να αποκτήσει τις κινητές αξίες που θα του κατανεμηθούν βάσει του Προγράμματος Άντλησης Κεφαλαίων </w:t>
      </w:r>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t>β) ο επενδυτής δηλώνει, αποδέχεται και δεσμεύεται από τους όρους του Προγράμματος Άντλησης Κεφαλαίων του οποίου έχει λάβει γνώση ή και το οποίο του έχει προσκομιστεί</w:t>
      </w:r>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t xml:space="preserve">γ) η δήλωση συμμετοχής ή εγγραφής καθίσταται οριστική και ανέκκλητη, ήτοι δεν μπορεί να  τροποποιηθεί ή ανακληθεί από τον επενδυτή μετά τη λήξη της δημόσιας προσφοράς και εγγραφής σύμφωνα με την Απόφαση 34. </w:t>
      </w:r>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t xml:space="preserve">2.2 </w:t>
      </w:r>
      <w:r>
        <w:rPr>
          <w:rFonts w:asciiTheme="majorBidi" w:hAnsiTheme="majorBidi" w:cstheme="majorBidi"/>
          <w:i/>
          <w:sz w:val="24"/>
          <w:szCs w:val="24"/>
        </w:rPr>
        <w:tab/>
        <w:t xml:space="preserve"> Να προβαίνει σε χρήση των Κωδικών Η.ΒΙ.Π. σύμφωνα με τα ειδικότερα τεχνικά χαρακτηριστικά τους, όπως ορίζονται στο </w:t>
      </w:r>
      <w:r w:rsidR="00E619CF" w:rsidRPr="00E619CF">
        <w:rPr>
          <w:rFonts w:asciiTheme="majorBidi" w:hAnsiTheme="majorBidi" w:cstheme="majorBidi"/>
          <w:i/>
          <w:sz w:val="24"/>
          <w:szCs w:val="24"/>
        </w:rPr>
        <w:t xml:space="preserve">ΠΑΡΑΡΤΗΜΑ II </w:t>
      </w:r>
      <w:r>
        <w:rPr>
          <w:rFonts w:asciiTheme="majorBidi" w:hAnsiTheme="majorBidi" w:cstheme="majorBidi"/>
          <w:i/>
          <w:sz w:val="24"/>
          <w:szCs w:val="24"/>
        </w:rPr>
        <w:t xml:space="preserve"> της Απόφασης 34 του Χ.Α., εισάγοντας μέσω αυτών τις προσφορές αγοράς με βάση τις οδηγίες και εντολές των εντολέων/πελατών.</w:t>
      </w:r>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t xml:space="preserve">2.3 </w:t>
      </w:r>
      <w:r>
        <w:rPr>
          <w:rFonts w:asciiTheme="majorBidi" w:hAnsiTheme="majorBidi" w:cstheme="majorBidi"/>
          <w:i/>
          <w:sz w:val="24"/>
          <w:szCs w:val="24"/>
        </w:rPr>
        <w:tab/>
        <w:t xml:space="preserve"> Να τηρεί τα απαραίτητα στοιχεία και αρχεία προς επιβεβαίωση (</w:t>
      </w:r>
      <w:r>
        <w:rPr>
          <w:rFonts w:asciiTheme="majorBidi" w:hAnsiTheme="majorBidi" w:cstheme="majorBidi"/>
          <w:i/>
          <w:sz w:val="24"/>
          <w:szCs w:val="24"/>
          <w:lang w:val="en-US"/>
        </w:rPr>
        <w:t>confirmation</w:t>
      </w:r>
      <w:r>
        <w:rPr>
          <w:rFonts w:asciiTheme="majorBidi" w:hAnsiTheme="majorBidi" w:cstheme="majorBidi"/>
          <w:i/>
          <w:sz w:val="24"/>
          <w:szCs w:val="24"/>
        </w:rPr>
        <w:t>) της συμφωνίας των εντολών και οδηγιών των πελατών του προς τις προσφορές αγοράς, όπως εισάγονται στο Σύστημα από το Μέλος Η.ΒΙ.Π. για λογαριασμό τους και οριστικοποιούνται ως απολύτως δεσμευτικές και ανέκκλητες σύμφωνα με την Απόφαση 34 του Χ.Α.</w:t>
      </w:r>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t>2.4</w:t>
      </w:r>
      <w:r>
        <w:rPr>
          <w:rFonts w:asciiTheme="majorBidi" w:hAnsiTheme="majorBidi" w:cstheme="majorBidi"/>
          <w:i/>
          <w:sz w:val="24"/>
          <w:szCs w:val="24"/>
        </w:rPr>
        <w:tab/>
        <w:t xml:space="preserve">Να βρίσκεται σε πλήρη τεχνική και λειτουργική ετοιμότητα για να διαβιβάζει τα στοιχεία των Ειδικών Επενδυτών, ως ορίζονται σύμφωνα με τις κείμενες διατάξεις, </w:t>
      </w:r>
      <w:r w:rsidR="00B8354A">
        <w:rPr>
          <w:rFonts w:asciiTheme="majorBidi" w:hAnsiTheme="majorBidi" w:cstheme="majorBidi"/>
          <w:i/>
          <w:sz w:val="24"/>
          <w:szCs w:val="24"/>
        </w:rPr>
        <w:t xml:space="preserve">στους </w:t>
      </w:r>
      <w:r>
        <w:rPr>
          <w:rFonts w:asciiTheme="majorBidi" w:hAnsiTheme="majorBidi" w:cstheme="majorBidi"/>
          <w:i/>
          <w:sz w:val="24"/>
          <w:szCs w:val="24"/>
        </w:rPr>
        <w:t>Συντονιστ</w:t>
      </w:r>
      <w:r w:rsidR="00B8354A">
        <w:rPr>
          <w:rFonts w:asciiTheme="majorBidi" w:hAnsiTheme="majorBidi" w:cstheme="majorBidi"/>
          <w:i/>
          <w:sz w:val="24"/>
          <w:szCs w:val="24"/>
        </w:rPr>
        <w:t>ές</w:t>
      </w:r>
      <w:r>
        <w:rPr>
          <w:rFonts w:asciiTheme="majorBidi" w:hAnsiTheme="majorBidi" w:cstheme="majorBidi"/>
          <w:i/>
          <w:sz w:val="24"/>
          <w:szCs w:val="24"/>
        </w:rPr>
        <w:t xml:space="preserve">, σε σχέση με τις προσφορές αγοράς που θα εισάγει στο Σύστημα μέσω των Κωδικών Επενδυτή Η.ΒΙ.Π. ή Τεχνικών Κωδικών Ειδικού Επενδυτή (ΤεΚΕΕ) Η.ΒΙ.Π. που θα χειρίζεται για λογαριασμό τους, ώστε να καθίσταται εφικτή η απευθείας εγγραφή των Ειδικών Επενδυτών </w:t>
      </w:r>
      <w:r w:rsidR="004B3F7B">
        <w:rPr>
          <w:rFonts w:asciiTheme="majorBidi" w:hAnsiTheme="majorBidi" w:cstheme="majorBidi"/>
          <w:i/>
          <w:sz w:val="24"/>
          <w:szCs w:val="24"/>
        </w:rPr>
        <w:t xml:space="preserve">στους </w:t>
      </w:r>
      <w:r>
        <w:rPr>
          <w:rFonts w:asciiTheme="majorBidi" w:hAnsiTheme="majorBidi" w:cstheme="majorBidi"/>
          <w:i/>
          <w:sz w:val="24"/>
          <w:szCs w:val="24"/>
        </w:rPr>
        <w:t>Συντονιστ</w:t>
      </w:r>
      <w:r w:rsidR="004B3F7B">
        <w:rPr>
          <w:rFonts w:asciiTheme="majorBidi" w:hAnsiTheme="majorBidi" w:cstheme="majorBidi"/>
          <w:i/>
          <w:sz w:val="24"/>
          <w:szCs w:val="24"/>
        </w:rPr>
        <w:t>ές</w:t>
      </w:r>
      <w:r>
        <w:rPr>
          <w:rFonts w:asciiTheme="majorBidi" w:hAnsiTheme="majorBidi" w:cstheme="majorBidi"/>
          <w:i/>
          <w:sz w:val="24"/>
          <w:szCs w:val="24"/>
        </w:rPr>
        <w:t xml:space="preserve"> ως ανάδοχο</w:t>
      </w:r>
      <w:r w:rsidR="004B3F7B">
        <w:rPr>
          <w:rFonts w:asciiTheme="majorBidi" w:hAnsiTheme="majorBidi" w:cstheme="majorBidi"/>
          <w:i/>
          <w:sz w:val="24"/>
          <w:szCs w:val="24"/>
        </w:rPr>
        <w:t>ι</w:t>
      </w:r>
      <w:r>
        <w:rPr>
          <w:rFonts w:asciiTheme="majorBidi" w:hAnsiTheme="majorBidi" w:cstheme="majorBidi"/>
          <w:i/>
          <w:sz w:val="24"/>
          <w:szCs w:val="24"/>
        </w:rPr>
        <w:t xml:space="preserve"> ή για λογαριασμό τ</w:t>
      </w:r>
      <w:r w:rsidR="004B3F7B">
        <w:rPr>
          <w:rFonts w:asciiTheme="majorBidi" w:hAnsiTheme="majorBidi" w:cstheme="majorBidi"/>
          <w:i/>
          <w:sz w:val="24"/>
          <w:szCs w:val="24"/>
        </w:rPr>
        <w:t>ων</w:t>
      </w:r>
      <w:r>
        <w:rPr>
          <w:rFonts w:asciiTheme="majorBidi" w:hAnsiTheme="majorBidi" w:cstheme="majorBidi"/>
          <w:i/>
          <w:sz w:val="24"/>
          <w:szCs w:val="24"/>
        </w:rPr>
        <w:t xml:space="preserve"> αναδόχ</w:t>
      </w:r>
      <w:r w:rsidR="004B3F7B">
        <w:rPr>
          <w:rFonts w:asciiTheme="majorBidi" w:hAnsiTheme="majorBidi" w:cstheme="majorBidi"/>
          <w:i/>
          <w:sz w:val="24"/>
          <w:szCs w:val="24"/>
        </w:rPr>
        <w:t>ων</w:t>
      </w:r>
      <w:r>
        <w:rPr>
          <w:rFonts w:asciiTheme="majorBidi" w:hAnsiTheme="majorBidi" w:cstheme="majorBidi"/>
          <w:i/>
          <w:sz w:val="24"/>
          <w:szCs w:val="24"/>
        </w:rPr>
        <w:t>, όπου συντρέχει τέτοια περίπτωση.</w:t>
      </w:r>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t>2.5</w:t>
      </w:r>
      <w:r>
        <w:rPr>
          <w:rFonts w:asciiTheme="majorBidi" w:hAnsiTheme="majorBidi" w:cstheme="majorBidi"/>
          <w:i/>
          <w:sz w:val="24"/>
          <w:szCs w:val="24"/>
        </w:rPr>
        <w:tab/>
        <w:t>Να διασφαλίζει ότι οι ιδιώτες επενδυτές, εφόσον είναι πελάτες του, έχουν ικανοποιήσει τις χρηματικές υποχρεώσεις τους πριν την εισαγωγή προσφορών αγοράς στο Η.ΒΙ.Π. μέσω Κωδικών Επενδυτή Η.ΒΙ.Π ή να λαμβάνει τις απαραίτητες προς τούτο διασφαλίσεις από τα κατά περίπτωση διαμεσολαβούντα πρόσωπα ή τους Χειριστές που λειτουργούν για λογαριασμό τους πριν τη σχετική εισαγωγή προσφορών.</w:t>
      </w:r>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lastRenderedPageBreak/>
        <w:t>2.6</w:t>
      </w:r>
      <w:r>
        <w:rPr>
          <w:rFonts w:asciiTheme="majorBidi" w:hAnsiTheme="majorBidi" w:cstheme="majorBidi"/>
          <w:i/>
          <w:sz w:val="24"/>
          <w:szCs w:val="24"/>
        </w:rPr>
        <w:tab/>
        <w:t>Εφόσον πρόκειται για προσφορές αγοράς Διαμεσολαβητή, ως ορίζεται στον Κανονισμό, που ενεργεί επ’ ονόματί του και για λογαριασμό επενδυτών πελατών του, να προβαίνει σε χρήση του Κωδικού Διαμεσολαβητή Η.ΒΙ.Π. και να εισάγει τις προσφορές αγοράς σύμφωνα με τις εντολές και οδηγίες του Διαμεσολαβητή και υπό την πλήρη ευθύνη του για την εκτέλεση των πράξεων κατανομής στους πελάτες του.</w:t>
      </w:r>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t xml:space="preserve">2.7 </w:t>
      </w:r>
      <w:r>
        <w:rPr>
          <w:rFonts w:asciiTheme="majorBidi" w:hAnsiTheme="majorBidi" w:cstheme="majorBidi"/>
          <w:i/>
          <w:sz w:val="24"/>
          <w:szCs w:val="24"/>
        </w:rPr>
        <w:tab/>
        <w:t>Να ενεργεί σύμφωνα με τις διαδικασίες της ΕΛ.Κ.Α.Τ. ώστε να διασφαλίζεται η εμπρόθεσμη και προσήκουσα καταχώρηση των προσφερόμενων κινητών αξιών στους Λογαριασμούς Χειριστή των Λογαριασμών Αξιών των Μερίδων των δικαιούχων σε εκτέλεση των πράξεων κατανομής που οριστικοποιούνται μέσω του Η.ΒΙ.Π.</w:t>
      </w:r>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t>2.8</w:t>
      </w:r>
      <w:r>
        <w:rPr>
          <w:rFonts w:asciiTheme="majorBidi" w:hAnsiTheme="majorBidi" w:cstheme="majorBidi"/>
          <w:i/>
          <w:sz w:val="24"/>
          <w:szCs w:val="24"/>
        </w:rPr>
        <w:tab/>
        <w:t>Να απέχει από κάθε ενέργεια που θα μπορούσε να διαταράξει την ομαλή λειτουργία της διαδικασίας Η.ΒΙ.Π., ιδίως σε σχέση με τον τρόπο χειρισμού και εισαγωγής των προσφορών αγοράς στο Η.ΒΙ.Π. για τη συμμετοχή στον Πρόγραμμα Άντλησης Κεφαλαίων.</w:t>
      </w:r>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t>2.9</w:t>
      </w:r>
      <w:r>
        <w:rPr>
          <w:rFonts w:asciiTheme="majorBidi" w:hAnsiTheme="majorBidi" w:cstheme="majorBidi"/>
          <w:i/>
          <w:sz w:val="24"/>
          <w:szCs w:val="24"/>
        </w:rPr>
        <w:tab/>
        <w:t>Να συμμορφώνεται προς τις κατά περίπτωση εφαρμοστέες διατάξεις που αφορούν τη συμμετοχή σε τέτοιες διαδικασίες όπως μπορεί να εξειδικεύονται με αποφάσεις, οδηγίες ή άλλες κατευθυντήριες γραμμές των αρμοδίων αρχών.</w:t>
      </w:r>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t>2.10</w:t>
      </w:r>
      <w:r>
        <w:rPr>
          <w:rFonts w:asciiTheme="majorBidi" w:hAnsiTheme="majorBidi" w:cstheme="majorBidi"/>
          <w:i/>
          <w:sz w:val="24"/>
          <w:szCs w:val="24"/>
        </w:rPr>
        <w:tab/>
        <w:t>Να τηρεί την οφειλόμενη εμπιστευτικότητα ως προς τα στοιχεία και τις πληροφορίες που θα περιέχονται στην κατοχή του σε σχέση με τις προσφορές αγοράς και τη συμμετοχή του στο Η.ΒΙ.Π. όπου απαιτείται με βάση τις κείμενες διατάξεις.</w:t>
      </w:r>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t>3.</w:t>
      </w:r>
      <w:r>
        <w:rPr>
          <w:rFonts w:asciiTheme="majorBidi" w:hAnsiTheme="majorBidi" w:cstheme="majorBidi"/>
          <w:i/>
          <w:sz w:val="24"/>
          <w:szCs w:val="24"/>
        </w:rPr>
        <w:tab/>
        <w:t>Σε περίπτωση μη εμπρόθεσμης εκπλήρωσης των υποχρεώσεων εκ μέρους των Ειδικών Επενδυτών ή των Διαμεσολαβητών για καταβολή των οφειλόμενων χρηματικών ποσών που αντιστοιχούν στις εισαχθείσες από το Μέλος Η.ΒΙ.Π. στο Η.ΒΙ.Π. προσφορές αγοράς αυτών, ο</w:t>
      </w:r>
      <w:r w:rsidR="00AC4703">
        <w:rPr>
          <w:rFonts w:asciiTheme="majorBidi" w:hAnsiTheme="majorBidi" w:cstheme="majorBidi"/>
          <w:i/>
          <w:sz w:val="24"/>
          <w:szCs w:val="24"/>
        </w:rPr>
        <w:t>ι</w:t>
      </w:r>
      <w:r>
        <w:rPr>
          <w:rFonts w:asciiTheme="majorBidi" w:hAnsiTheme="majorBidi" w:cstheme="majorBidi"/>
          <w:i/>
          <w:sz w:val="24"/>
          <w:szCs w:val="24"/>
        </w:rPr>
        <w:t xml:space="preserve"> Συντονιστ</w:t>
      </w:r>
      <w:r w:rsidR="00AC4703">
        <w:rPr>
          <w:rFonts w:asciiTheme="majorBidi" w:hAnsiTheme="majorBidi" w:cstheme="majorBidi"/>
          <w:i/>
          <w:sz w:val="24"/>
          <w:szCs w:val="24"/>
        </w:rPr>
        <w:t>ές</w:t>
      </w:r>
      <w:r>
        <w:rPr>
          <w:rFonts w:asciiTheme="majorBidi" w:hAnsiTheme="majorBidi" w:cstheme="majorBidi"/>
          <w:i/>
          <w:sz w:val="24"/>
          <w:szCs w:val="24"/>
        </w:rPr>
        <w:t xml:space="preserve"> ως ανάδοχο</w:t>
      </w:r>
      <w:r w:rsidR="00AC4703">
        <w:rPr>
          <w:rFonts w:asciiTheme="majorBidi" w:hAnsiTheme="majorBidi" w:cstheme="majorBidi"/>
          <w:i/>
          <w:sz w:val="24"/>
          <w:szCs w:val="24"/>
        </w:rPr>
        <w:t>ι</w:t>
      </w:r>
      <w:r>
        <w:rPr>
          <w:rFonts w:asciiTheme="majorBidi" w:hAnsiTheme="majorBidi" w:cstheme="majorBidi"/>
          <w:i/>
          <w:sz w:val="24"/>
          <w:szCs w:val="24"/>
        </w:rPr>
        <w:t xml:space="preserve"> ή για λογαριασμό τ</w:t>
      </w:r>
      <w:r w:rsidR="00AC4703">
        <w:rPr>
          <w:rFonts w:asciiTheme="majorBidi" w:hAnsiTheme="majorBidi" w:cstheme="majorBidi"/>
          <w:i/>
          <w:sz w:val="24"/>
          <w:szCs w:val="24"/>
        </w:rPr>
        <w:t>ων</w:t>
      </w:r>
      <w:r>
        <w:rPr>
          <w:rFonts w:asciiTheme="majorBidi" w:hAnsiTheme="majorBidi" w:cstheme="majorBidi"/>
          <w:i/>
          <w:sz w:val="24"/>
          <w:szCs w:val="24"/>
        </w:rPr>
        <w:t xml:space="preserve"> αναδόχ</w:t>
      </w:r>
      <w:r w:rsidR="00AC4703">
        <w:rPr>
          <w:rFonts w:asciiTheme="majorBidi" w:hAnsiTheme="majorBidi" w:cstheme="majorBidi"/>
          <w:i/>
          <w:sz w:val="24"/>
          <w:szCs w:val="24"/>
        </w:rPr>
        <w:t>ων</w:t>
      </w:r>
      <w:r>
        <w:rPr>
          <w:rFonts w:asciiTheme="majorBidi" w:hAnsiTheme="majorBidi" w:cstheme="majorBidi"/>
          <w:i/>
          <w:sz w:val="24"/>
          <w:szCs w:val="24"/>
        </w:rPr>
        <w:t>, όπου συντρέχει περίπτωση, λαμβάνει τα απαραίτητα μέτρα σύμφωνα με τις κείμενες διατάξεις και τους όρους της παρούσας απόφασης. Το Μέλος Η.ΒΙ.Π. συνεργάζεται με το</w:t>
      </w:r>
      <w:r w:rsidR="00AC4703">
        <w:rPr>
          <w:rFonts w:asciiTheme="majorBidi" w:hAnsiTheme="majorBidi" w:cstheme="majorBidi"/>
          <w:i/>
          <w:sz w:val="24"/>
          <w:szCs w:val="24"/>
        </w:rPr>
        <w:t>υς</w:t>
      </w:r>
      <w:r>
        <w:rPr>
          <w:rFonts w:asciiTheme="majorBidi" w:hAnsiTheme="majorBidi" w:cstheme="majorBidi"/>
          <w:i/>
          <w:sz w:val="24"/>
          <w:szCs w:val="24"/>
        </w:rPr>
        <w:t xml:space="preserve"> Συντονιστ</w:t>
      </w:r>
      <w:r w:rsidR="00AC4703">
        <w:rPr>
          <w:rFonts w:asciiTheme="majorBidi" w:hAnsiTheme="majorBidi" w:cstheme="majorBidi"/>
          <w:i/>
          <w:sz w:val="24"/>
          <w:szCs w:val="24"/>
        </w:rPr>
        <w:t>ές</w:t>
      </w:r>
      <w:r>
        <w:rPr>
          <w:rFonts w:asciiTheme="majorBidi" w:hAnsiTheme="majorBidi" w:cstheme="majorBidi"/>
          <w:i/>
          <w:sz w:val="24"/>
          <w:szCs w:val="24"/>
        </w:rPr>
        <w:t>, παρέχοντας στοιχεία ως προς τους Κωδικούς Η.ΒΙ.Π. που τηρεί για λογαριασμό τους, όπου τούτο του ζητείται από το</w:t>
      </w:r>
      <w:r w:rsidR="00AC4703">
        <w:rPr>
          <w:rFonts w:asciiTheme="majorBidi" w:hAnsiTheme="majorBidi" w:cstheme="majorBidi"/>
          <w:i/>
          <w:sz w:val="24"/>
          <w:szCs w:val="24"/>
        </w:rPr>
        <w:t>υς</w:t>
      </w:r>
      <w:r>
        <w:rPr>
          <w:rFonts w:asciiTheme="majorBidi" w:hAnsiTheme="majorBidi" w:cstheme="majorBidi"/>
          <w:i/>
          <w:sz w:val="24"/>
          <w:szCs w:val="24"/>
        </w:rPr>
        <w:t xml:space="preserve"> Συντονιστ</w:t>
      </w:r>
      <w:r w:rsidR="00AC4703">
        <w:rPr>
          <w:rFonts w:asciiTheme="majorBidi" w:hAnsiTheme="majorBidi" w:cstheme="majorBidi"/>
          <w:i/>
          <w:sz w:val="24"/>
          <w:szCs w:val="24"/>
        </w:rPr>
        <w:t>ές</w:t>
      </w:r>
      <w:r>
        <w:rPr>
          <w:rFonts w:asciiTheme="majorBidi" w:hAnsiTheme="majorBidi" w:cstheme="majorBidi"/>
          <w:i/>
          <w:sz w:val="24"/>
          <w:szCs w:val="24"/>
        </w:rPr>
        <w:t xml:space="preserve"> προς διευθέτηση της σχετικής υπερημερίας. </w:t>
      </w:r>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t>3.</w:t>
      </w:r>
      <w:r>
        <w:rPr>
          <w:rFonts w:asciiTheme="majorBidi" w:hAnsiTheme="majorBidi" w:cstheme="majorBidi"/>
          <w:i/>
          <w:sz w:val="24"/>
          <w:szCs w:val="24"/>
        </w:rPr>
        <w:tab/>
        <w:t xml:space="preserve">Το Μέλος Η.ΒΙ.Π. ευθύνεται για την ορθή καταχώρηση στο Σύστημα των προσφορών αγοράς μέσω των Κωδικών Η.ΒΙ.Π., που χειρίζεται, με βάση τα στοιχεία και </w:t>
      </w:r>
      <w:r>
        <w:rPr>
          <w:rFonts w:asciiTheme="majorBidi" w:hAnsiTheme="majorBidi" w:cstheme="majorBidi"/>
          <w:i/>
          <w:sz w:val="24"/>
          <w:szCs w:val="24"/>
        </w:rPr>
        <w:lastRenderedPageBreak/>
        <w:t>τις εντολές που του παρέχονται από τους εντολείς πελάτες του. Ευθύνεται επίσης για την εμπρόθεσμη εκπλήρωση των χρηματικών υποχρεώσεων των ιδιωτών επενδυτών για τους οποίους ενεργεί.</w:t>
      </w:r>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t>4.</w:t>
      </w:r>
      <w:r>
        <w:rPr>
          <w:rFonts w:asciiTheme="majorBidi" w:hAnsiTheme="majorBidi" w:cstheme="majorBidi"/>
          <w:i/>
          <w:sz w:val="24"/>
          <w:szCs w:val="24"/>
        </w:rPr>
        <w:tab/>
        <w:t>Σε περίπτωση αθέτησης από τα Μέλη Η.ΒΙ.Π. των υποχρεώσεών τους, όπως ορίζονται με τους όρους της παρούσας απόφασης, η αθέτηση αυτή συνιστά αθέτηση του Κανονισμού και το Χ.Α. δύναται να λαμβάνει τα κατά περίπτωση αναγκαία μέτρα κατά του αθετήσαντος Μέλους Η.ΒΙ.Π. σύμφωνα με τα προβλεπόμενα στο άρθρο 6.2 του Κανονισμού.</w:t>
      </w:r>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t>Σε πίστωση της παρούσας Δήλωσης Συμμετοχής, τούτη συντάσσεται και υπογράφεται από το Μέλος Η.ΒΙ.Π. σε τέσσερα (4) όμοια αντίτυπα, από τα οποία, ένα (1) λαμβάνει το Μέλος Η.ΒΙ.Π. και τα έτερα τρία (3) παρέχονται στο Χ.Α., ένα (1) για το ίδιο και τα άλλα δύο (2) για να τα τηρεί και να τα θέτει στη διάθεση τ</w:t>
      </w:r>
      <w:r w:rsidR="00AC4703">
        <w:rPr>
          <w:rFonts w:asciiTheme="majorBidi" w:hAnsiTheme="majorBidi" w:cstheme="majorBidi"/>
          <w:i/>
          <w:sz w:val="24"/>
          <w:szCs w:val="24"/>
        </w:rPr>
        <w:t>ων</w:t>
      </w:r>
      <w:r>
        <w:rPr>
          <w:rFonts w:asciiTheme="majorBidi" w:hAnsiTheme="majorBidi" w:cstheme="majorBidi"/>
          <w:i/>
          <w:sz w:val="24"/>
          <w:szCs w:val="24"/>
        </w:rPr>
        <w:t xml:space="preserve"> Συντονιστ</w:t>
      </w:r>
      <w:r w:rsidR="00AC4703">
        <w:rPr>
          <w:rFonts w:asciiTheme="majorBidi" w:hAnsiTheme="majorBidi" w:cstheme="majorBidi"/>
          <w:i/>
          <w:sz w:val="24"/>
          <w:szCs w:val="24"/>
        </w:rPr>
        <w:t>ών</w:t>
      </w:r>
      <w:r>
        <w:rPr>
          <w:rFonts w:asciiTheme="majorBidi" w:hAnsiTheme="majorBidi" w:cstheme="majorBidi"/>
          <w:i/>
          <w:sz w:val="24"/>
          <w:szCs w:val="24"/>
        </w:rPr>
        <w:t xml:space="preserve"> και το</w:t>
      </w:r>
      <w:r w:rsidR="00AC4703">
        <w:rPr>
          <w:rFonts w:asciiTheme="majorBidi" w:hAnsiTheme="majorBidi" w:cstheme="majorBidi"/>
          <w:i/>
          <w:sz w:val="24"/>
          <w:szCs w:val="24"/>
        </w:rPr>
        <w:t>υ</w:t>
      </w:r>
      <w:r>
        <w:rPr>
          <w:rFonts w:asciiTheme="majorBidi" w:hAnsiTheme="majorBidi" w:cstheme="majorBidi"/>
          <w:i/>
          <w:sz w:val="24"/>
          <w:szCs w:val="24"/>
        </w:rPr>
        <w:t xml:space="preserve"> Εκδότη σε πρώτη ζήτηση, προς γνώση τους και για τις νόμιμες συνέπειες.</w:t>
      </w:r>
    </w:p>
    <w:p w:rsidR="00A53B4B" w:rsidRDefault="00A53B4B" w:rsidP="00A53B4B">
      <w:pPr>
        <w:autoSpaceDE w:val="0"/>
        <w:autoSpaceDN w:val="0"/>
        <w:adjustRightInd w:val="0"/>
        <w:rPr>
          <w:rFonts w:asciiTheme="majorBidi" w:hAnsiTheme="majorBidi" w:cstheme="majorBidi"/>
          <w:i/>
          <w:sz w:val="24"/>
          <w:szCs w:val="24"/>
        </w:rPr>
      </w:pPr>
      <w:r>
        <w:rPr>
          <w:rFonts w:asciiTheme="majorBidi" w:hAnsiTheme="majorBidi" w:cstheme="majorBidi"/>
          <w:i/>
          <w:sz w:val="24"/>
          <w:szCs w:val="24"/>
        </w:rPr>
        <w:t xml:space="preserve">Για το Μέλος Η.ΒΙ.Π. </w:t>
      </w:r>
    </w:p>
    <w:p w:rsidR="00586637" w:rsidRPr="00586637" w:rsidRDefault="00586637" w:rsidP="00A53B4B">
      <w:pPr>
        <w:autoSpaceDE w:val="0"/>
        <w:autoSpaceDN w:val="0"/>
        <w:adjustRightInd w:val="0"/>
        <w:rPr>
          <w:rFonts w:asciiTheme="minorHAnsi" w:hAnsiTheme="minorHAnsi" w:cs="Arial"/>
          <w:bCs/>
          <w:sz w:val="20"/>
          <w:u w:val="dotted"/>
        </w:rPr>
      </w:pPr>
      <w:r w:rsidRPr="00586637">
        <w:rPr>
          <w:rFonts w:asciiTheme="minorHAnsi" w:hAnsiTheme="minorHAnsi" w:cs="Arial"/>
          <w:bCs/>
          <w:sz w:val="20"/>
          <w:u w:val="dotted"/>
        </w:rPr>
        <w:fldChar w:fldCharType="begin">
          <w:ffData>
            <w:name w:val=""/>
            <w:enabled/>
            <w:calcOnExit w:val="0"/>
            <w:textInput>
              <w:maxLength w:val="50"/>
            </w:textInput>
          </w:ffData>
        </w:fldChar>
      </w:r>
      <w:r w:rsidRPr="00586637">
        <w:rPr>
          <w:rFonts w:asciiTheme="minorHAnsi" w:hAnsiTheme="minorHAnsi" w:cs="Arial"/>
          <w:bCs/>
          <w:sz w:val="20"/>
          <w:u w:val="dotted"/>
        </w:rPr>
        <w:instrText xml:space="preserve"> FORMTEXT </w:instrText>
      </w:r>
      <w:r w:rsidRPr="00586637">
        <w:rPr>
          <w:rFonts w:asciiTheme="minorHAnsi" w:hAnsiTheme="minorHAnsi" w:cs="Arial"/>
          <w:bCs/>
          <w:sz w:val="20"/>
          <w:u w:val="dotted"/>
        </w:rPr>
      </w:r>
      <w:r w:rsidRPr="00586637">
        <w:rPr>
          <w:rFonts w:asciiTheme="minorHAnsi" w:hAnsiTheme="minorHAnsi" w:cs="Arial"/>
          <w:bCs/>
          <w:sz w:val="20"/>
          <w:u w:val="dotted"/>
        </w:rPr>
        <w:fldChar w:fldCharType="separate"/>
      </w:r>
      <w:bookmarkStart w:id="1" w:name="_GoBack"/>
      <w:bookmarkEnd w:id="1"/>
      <w:r w:rsidRPr="00586637">
        <w:rPr>
          <w:rFonts w:asciiTheme="minorHAnsi" w:hAnsiTheme="minorHAnsi" w:cs="Arial"/>
          <w:bCs/>
          <w:noProof/>
          <w:sz w:val="20"/>
          <w:u w:val="dotted"/>
        </w:rPr>
        <w:t> </w:t>
      </w:r>
      <w:r w:rsidRPr="00586637">
        <w:rPr>
          <w:rFonts w:asciiTheme="minorHAnsi" w:hAnsiTheme="minorHAnsi" w:cs="Arial"/>
          <w:bCs/>
          <w:noProof/>
          <w:sz w:val="20"/>
          <w:u w:val="dotted"/>
        </w:rPr>
        <w:t> </w:t>
      </w:r>
      <w:r w:rsidRPr="00586637">
        <w:rPr>
          <w:rFonts w:asciiTheme="minorHAnsi" w:hAnsiTheme="minorHAnsi" w:cs="Arial"/>
          <w:bCs/>
          <w:noProof/>
          <w:sz w:val="20"/>
          <w:u w:val="dotted"/>
        </w:rPr>
        <w:t> </w:t>
      </w:r>
      <w:r w:rsidRPr="00586637">
        <w:rPr>
          <w:rFonts w:asciiTheme="minorHAnsi" w:hAnsiTheme="minorHAnsi" w:cs="Arial"/>
          <w:bCs/>
          <w:noProof/>
          <w:sz w:val="20"/>
          <w:u w:val="dotted"/>
        </w:rPr>
        <w:t> </w:t>
      </w:r>
      <w:r w:rsidRPr="00586637">
        <w:rPr>
          <w:rFonts w:asciiTheme="minorHAnsi" w:hAnsiTheme="minorHAnsi" w:cs="Arial"/>
          <w:bCs/>
          <w:noProof/>
          <w:sz w:val="20"/>
          <w:u w:val="dotted"/>
        </w:rPr>
        <w:t> </w:t>
      </w:r>
      <w:r w:rsidRPr="00586637">
        <w:rPr>
          <w:rFonts w:asciiTheme="minorHAnsi" w:hAnsiTheme="minorHAnsi" w:cs="Arial"/>
          <w:bCs/>
          <w:sz w:val="20"/>
          <w:u w:val="dotted"/>
        </w:rPr>
        <w:fldChar w:fldCharType="end"/>
      </w:r>
    </w:p>
    <w:p w:rsidR="00586637" w:rsidRPr="00586637" w:rsidRDefault="00586637" w:rsidP="00A53B4B">
      <w:pPr>
        <w:autoSpaceDE w:val="0"/>
        <w:autoSpaceDN w:val="0"/>
        <w:adjustRightInd w:val="0"/>
        <w:rPr>
          <w:rFonts w:asciiTheme="minorHAnsi" w:hAnsiTheme="minorHAnsi" w:cs="Arial"/>
          <w:bCs/>
          <w:sz w:val="20"/>
          <w:u w:val="dotted"/>
        </w:rPr>
      </w:pPr>
      <w:r w:rsidRPr="00586637">
        <w:rPr>
          <w:rFonts w:asciiTheme="minorHAnsi" w:hAnsiTheme="minorHAnsi" w:cs="Arial"/>
          <w:bCs/>
          <w:sz w:val="20"/>
          <w:u w:val="dotted"/>
        </w:rPr>
        <w:fldChar w:fldCharType="begin">
          <w:ffData>
            <w:name w:val=""/>
            <w:enabled/>
            <w:calcOnExit w:val="0"/>
            <w:textInput>
              <w:maxLength w:val="50"/>
            </w:textInput>
          </w:ffData>
        </w:fldChar>
      </w:r>
      <w:r w:rsidRPr="00586637">
        <w:rPr>
          <w:rFonts w:asciiTheme="minorHAnsi" w:hAnsiTheme="minorHAnsi" w:cs="Arial"/>
          <w:bCs/>
          <w:sz w:val="20"/>
          <w:u w:val="dotted"/>
        </w:rPr>
        <w:instrText xml:space="preserve"> FORMTEXT </w:instrText>
      </w:r>
      <w:r w:rsidRPr="00586637">
        <w:rPr>
          <w:rFonts w:asciiTheme="minorHAnsi" w:hAnsiTheme="minorHAnsi" w:cs="Arial"/>
          <w:bCs/>
          <w:sz w:val="20"/>
          <w:u w:val="dotted"/>
        </w:rPr>
      </w:r>
      <w:r w:rsidRPr="00586637">
        <w:rPr>
          <w:rFonts w:asciiTheme="minorHAnsi" w:hAnsiTheme="minorHAnsi" w:cs="Arial"/>
          <w:bCs/>
          <w:sz w:val="20"/>
          <w:u w:val="dotted"/>
        </w:rPr>
        <w:fldChar w:fldCharType="separate"/>
      </w:r>
      <w:r w:rsidRPr="00586637">
        <w:rPr>
          <w:rFonts w:asciiTheme="minorHAnsi" w:hAnsiTheme="minorHAnsi" w:cs="Arial"/>
          <w:bCs/>
          <w:noProof/>
          <w:sz w:val="20"/>
          <w:u w:val="dotted"/>
        </w:rPr>
        <w:t> </w:t>
      </w:r>
      <w:r w:rsidRPr="00586637">
        <w:rPr>
          <w:rFonts w:asciiTheme="minorHAnsi" w:hAnsiTheme="minorHAnsi" w:cs="Arial"/>
          <w:bCs/>
          <w:noProof/>
          <w:sz w:val="20"/>
          <w:u w:val="dotted"/>
        </w:rPr>
        <w:t> </w:t>
      </w:r>
      <w:r w:rsidRPr="00586637">
        <w:rPr>
          <w:rFonts w:asciiTheme="minorHAnsi" w:hAnsiTheme="minorHAnsi" w:cs="Arial"/>
          <w:bCs/>
          <w:noProof/>
          <w:sz w:val="20"/>
          <w:u w:val="dotted"/>
        </w:rPr>
        <w:t> </w:t>
      </w:r>
      <w:r w:rsidRPr="00586637">
        <w:rPr>
          <w:rFonts w:asciiTheme="minorHAnsi" w:hAnsiTheme="minorHAnsi" w:cs="Arial"/>
          <w:bCs/>
          <w:noProof/>
          <w:sz w:val="20"/>
          <w:u w:val="dotted"/>
        </w:rPr>
        <w:t> </w:t>
      </w:r>
      <w:r w:rsidRPr="00586637">
        <w:rPr>
          <w:rFonts w:asciiTheme="minorHAnsi" w:hAnsiTheme="minorHAnsi" w:cs="Arial"/>
          <w:bCs/>
          <w:noProof/>
          <w:sz w:val="20"/>
          <w:u w:val="dotted"/>
        </w:rPr>
        <w:t> </w:t>
      </w:r>
      <w:r w:rsidRPr="00586637">
        <w:rPr>
          <w:rFonts w:asciiTheme="minorHAnsi" w:hAnsiTheme="minorHAnsi" w:cs="Arial"/>
          <w:bCs/>
          <w:sz w:val="20"/>
          <w:u w:val="dotted"/>
        </w:rPr>
        <w:fldChar w:fldCharType="end"/>
      </w:r>
    </w:p>
    <w:p w:rsidR="00586637" w:rsidRPr="00586637" w:rsidRDefault="00586637" w:rsidP="00A53B4B">
      <w:pPr>
        <w:rPr>
          <w:rFonts w:asciiTheme="minorHAnsi" w:hAnsiTheme="minorHAnsi" w:cs="Arial"/>
          <w:bCs/>
          <w:sz w:val="20"/>
          <w:u w:val="dotted"/>
        </w:rPr>
      </w:pPr>
      <w:r w:rsidRPr="00586637">
        <w:rPr>
          <w:rFonts w:asciiTheme="minorHAnsi" w:hAnsiTheme="minorHAnsi" w:cs="Arial"/>
          <w:bCs/>
          <w:sz w:val="20"/>
          <w:u w:val="dotted"/>
        </w:rPr>
        <w:fldChar w:fldCharType="begin">
          <w:ffData>
            <w:name w:val=""/>
            <w:enabled/>
            <w:calcOnExit w:val="0"/>
            <w:textInput>
              <w:maxLength w:val="50"/>
            </w:textInput>
          </w:ffData>
        </w:fldChar>
      </w:r>
      <w:r w:rsidRPr="00586637">
        <w:rPr>
          <w:rFonts w:asciiTheme="minorHAnsi" w:hAnsiTheme="minorHAnsi" w:cs="Arial"/>
          <w:bCs/>
          <w:sz w:val="20"/>
          <w:u w:val="dotted"/>
        </w:rPr>
        <w:instrText xml:space="preserve"> FORMTEXT </w:instrText>
      </w:r>
      <w:r w:rsidRPr="00586637">
        <w:rPr>
          <w:rFonts w:asciiTheme="minorHAnsi" w:hAnsiTheme="minorHAnsi" w:cs="Arial"/>
          <w:bCs/>
          <w:sz w:val="20"/>
          <w:u w:val="dotted"/>
        </w:rPr>
      </w:r>
      <w:r w:rsidRPr="00586637">
        <w:rPr>
          <w:rFonts w:asciiTheme="minorHAnsi" w:hAnsiTheme="minorHAnsi" w:cs="Arial"/>
          <w:bCs/>
          <w:sz w:val="20"/>
          <w:u w:val="dotted"/>
        </w:rPr>
        <w:fldChar w:fldCharType="separate"/>
      </w:r>
      <w:r w:rsidRPr="00586637">
        <w:rPr>
          <w:rFonts w:asciiTheme="minorHAnsi" w:hAnsiTheme="minorHAnsi" w:cs="Arial"/>
          <w:bCs/>
          <w:noProof/>
          <w:sz w:val="20"/>
          <w:u w:val="dotted"/>
        </w:rPr>
        <w:t> </w:t>
      </w:r>
      <w:r w:rsidRPr="00586637">
        <w:rPr>
          <w:rFonts w:asciiTheme="minorHAnsi" w:hAnsiTheme="minorHAnsi" w:cs="Arial"/>
          <w:bCs/>
          <w:noProof/>
          <w:sz w:val="20"/>
          <w:u w:val="dotted"/>
        </w:rPr>
        <w:t> </w:t>
      </w:r>
      <w:r w:rsidRPr="00586637">
        <w:rPr>
          <w:rFonts w:asciiTheme="minorHAnsi" w:hAnsiTheme="minorHAnsi" w:cs="Arial"/>
          <w:bCs/>
          <w:noProof/>
          <w:sz w:val="20"/>
          <w:u w:val="dotted"/>
        </w:rPr>
        <w:t> </w:t>
      </w:r>
      <w:r w:rsidRPr="00586637">
        <w:rPr>
          <w:rFonts w:asciiTheme="minorHAnsi" w:hAnsiTheme="minorHAnsi" w:cs="Arial"/>
          <w:bCs/>
          <w:noProof/>
          <w:sz w:val="20"/>
          <w:u w:val="dotted"/>
        </w:rPr>
        <w:t> </w:t>
      </w:r>
      <w:r w:rsidRPr="00586637">
        <w:rPr>
          <w:rFonts w:asciiTheme="minorHAnsi" w:hAnsiTheme="minorHAnsi" w:cs="Arial"/>
          <w:bCs/>
          <w:noProof/>
          <w:sz w:val="20"/>
          <w:u w:val="dotted"/>
        </w:rPr>
        <w:t> </w:t>
      </w:r>
      <w:r w:rsidRPr="00586637">
        <w:rPr>
          <w:rFonts w:asciiTheme="minorHAnsi" w:hAnsiTheme="minorHAnsi" w:cs="Arial"/>
          <w:bCs/>
          <w:sz w:val="20"/>
          <w:u w:val="dotted"/>
        </w:rPr>
        <w:fldChar w:fldCharType="end"/>
      </w:r>
    </w:p>
    <w:p w:rsidR="00A53B4B" w:rsidRDefault="00A53B4B" w:rsidP="00A53B4B">
      <w:pPr>
        <w:rPr>
          <w:rFonts w:asciiTheme="majorBidi" w:hAnsiTheme="majorBidi" w:cstheme="majorBidi"/>
          <w:i/>
          <w:sz w:val="24"/>
          <w:szCs w:val="24"/>
        </w:rPr>
      </w:pPr>
      <w:r>
        <w:rPr>
          <w:rFonts w:asciiTheme="majorBidi" w:hAnsiTheme="majorBidi" w:cstheme="majorBidi"/>
          <w:i/>
          <w:sz w:val="24"/>
          <w:szCs w:val="24"/>
        </w:rPr>
        <w:t>(επωνυμία – στοιχεία &amp; υπογραφή του νόμιμου εκπροσώπου)</w:t>
      </w:r>
    </w:p>
    <w:p w:rsidR="00A53B4B" w:rsidRDefault="00A53B4B" w:rsidP="00A53B4B">
      <w:pPr>
        <w:rPr>
          <w:rFonts w:asciiTheme="majorBidi" w:hAnsiTheme="majorBidi" w:cstheme="majorBidi"/>
          <w:i/>
          <w:sz w:val="24"/>
          <w:szCs w:val="24"/>
        </w:rPr>
      </w:pPr>
    </w:p>
    <w:p w:rsidR="00A53B4B" w:rsidRDefault="00A53B4B" w:rsidP="00A53B4B">
      <w:pPr>
        <w:autoSpaceDE w:val="0"/>
        <w:autoSpaceDN w:val="0"/>
        <w:adjustRightInd w:val="0"/>
        <w:spacing w:before="0"/>
      </w:pPr>
      <w:r>
        <w:rPr>
          <w:rFonts w:asciiTheme="majorBidi" w:hAnsiTheme="majorBidi" w:cstheme="majorBidi"/>
        </w:rPr>
        <w:t>.</w:t>
      </w:r>
    </w:p>
    <w:p w:rsidR="00F97C0D" w:rsidRDefault="00F97C0D"/>
    <w:sectPr w:rsidR="00F97C0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B0E" w:rsidRDefault="00174B0E" w:rsidP="004777A1">
      <w:pPr>
        <w:spacing w:before="0" w:line="240" w:lineRule="auto"/>
      </w:pPr>
      <w:r>
        <w:separator/>
      </w:r>
    </w:p>
  </w:endnote>
  <w:endnote w:type="continuationSeparator" w:id="0">
    <w:p w:rsidR="00174B0E" w:rsidRDefault="00174B0E" w:rsidP="004777A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529296"/>
      <w:docPartObj>
        <w:docPartGallery w:val="Page Numbers (Bottom of Page)"/>
        <w:docPartUnique/>
      </w:docPartObj>
    </w:sdtPr>
    <w:sdtEndPr>
      <w:rPr>
        <w:rFonts w:ascii="Times New Roman" w:hAnsi="Times New Roman"/>
        <w:noProof/>
        <w:sz w:val="20"/>
      </w:rPr>
    </w:sdtEndPr>
    <w:sdtContent>
      <w:p w:rsidR="004777A1" w:rsidRPr="004777A1" w:rsidRDefault="004777A1">
        <w:pPr>
          <w:pStyle w:val="Footer"/>
          <w:jc w:val="right"/>
          <w:rPr>
            <w:rFonts w:ascii="Times New Roman" w:hAnsi="Times New Roman"/>
            <w:sz w:val="20"/>
          </w:rPr>
        </w:pPr>
        <w:r w:rsidRPr="004777A1">
          <w:rPr>
            <w:rFonts w:ascii="Times New Roman" w:hAnsi="Times New Roman"/>
            <w:sz w:val="20"/>
          </w:rPr>
          <w:fldChar w:fldCharType="begin"/>
        </w:r>
        <w:r w:rsidRPr="004777A1">
          <w:rPr>
            <w:rFonts w:ascii="Times New Roman" w:hAnsi="Times New Roman"/>
            <w:sz w:val="20"/>
          </w:rPr>
          <w:instrText xml:space="preserve"> PAGE   \* MERGEFORMAT </w:instrText>
        </w:r>
        <w:r w:rsidRPr="004777A1">
          <w:rPr>
            <w:rFonts w:ascii="Times New Roman" w:hAnsi="Times New Roman"/>
            <w:sz w:val="20"/>
          </w:rPr>
          <w:fldChar w:fldCharType="separate"/>
        </w:r>
        <w:r w:rsidR="00E619CF">
          <w:rPr>
            <w:rFonts w:ascii="Times New Roman" w:hAnsi="Times New Roman"/>
            <w:noProof/>
            <w:sz w:val="20"/>
          </w:rPr>
          <w:t>5</w:t>
        </w:r>
        <w:r w:rsidRPr="004777A1">
          <w:rPr>
            <w:rFonts w:ascii="Times New Roman" w:hAnsi="Times New Roman"/>
            <w:noProof/>
            <w:sz w:val="20"/>
          </w:rPr>
          <w:fldChar w:fldCharType="end"/>
        </w:r>
      </w:p>
    </w:sdtContent>
  </w:sdt>
  <w:p w:rsidR="004777A1" w:rsidRDefault="00477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B0E" w:rsidRDefault="00174B0E" w:rsidP="004777A1">
      <w:pPr>
        <w:spacing w:before="0" w:line="240" w:lineRule="auto"/>
      </w:pPr>
      <w:r>
        <w:separator/>
      </w:r>
    </w:p>
  </w:footnote>
  <w:footnote w:type="continuationSeparator" w:id="0">
    <w:p w:rsidR="00174B0E" w:rsidRDefault="00174B0E" w:rsidP="004777A1">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D641C"/>
    <w:multiLevelType w:val="hybridMultilevel"/>
    <w:tmpl w:val="90F4874E"/>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1C687671"/>
    <w:multiLevelType w:val="hybridMultilevel"/>
    <w:tmpl w:val="20301F92"/>
    <w:lvl w:ilvl="0" w:tplc="0408001B">
      <w:start w:val="1"/>
      <w:numFmt w:val="lowerRoman"/>
      <w:lvlText w:val="%1."/>
      <w:lvlJc w:val="right"/>
      <w:pPr>
        <w:ind w:left="720" w:hanging="360"/>
      </w:pPr>
    </w:lvl>
    <w:lvl w:ilvl="1" w:tplc="E00CD514">
      <w:start w:val="1"/>
      <mc:AlternateContent>
        <mc:Choice Requires="w14">
          <w:numFmt w:val="custom" w:format="α, β, γ, ..."/>
        </mc:Choice>
        <mc:Fallback>
          <w:numFmt w:val="decimal"/>
        </mc:Fallback>
      </mc:AlternateContent>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48982A16"/>
    <w:multiLevelType w:val="hybridMultilevel"/>
    <w:tmpl w:val="011CCFE2"/>
    <w:lvl w:ilvl="0" w:tplc="04BE655A">
      <w:start w:val="1"/>
      <w:numFmt w:val="decimal"/>
      <w:lvlText w:val="(%1)"/>
      <w:lvlJc w:val="left"/>
      <w:pPr>
        <w:ind w:left="704" w:hanging="420"/>
      </w:pPr>
      <w:rPr>
        <w:color w:val="000000" w:themeColor="text1"/>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4D671C69"/>
    <w:multiLevelType w:val="hybridMultilevel"/>
    <w:tmpl w:val="B35A2746"/>
    <w:lvl w:ilvl="0" w:tplc="27A65BEC">
      <w:start w:val="1"/>
      <w:numFmt w:val="upperRoman"/>
      <w:pStyle w:val="Appendix"/>
      <w:lvlText w:val="ΠΑΡΑΡΤΗΜΑ %1 "/>
      <w:lvlJc w:val="left"/>
      <w:pPr>
        <w:ind w:left="720" w:hanging="360"/>
      </w:pPr>
    </w:lvl>
    <w:lvl w:ilvl="1" w:tplc="8A00CD8C">
      <w:start w:val="1"/>
      <w:numFmt w:val="decimal"/>
      <w:pStyle w:val="Appendix2"/>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64560734"/>
    <w:multiLevelType w:val="hybridMultilevel"/>
    <w:tmpl w:val="B16C241E"/>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1">
      <w:start w:val="1"/>
      <w:numFmt w:val="decimal"/>
      <w:lvlText w:val="%3)"/>
      <w:lvlJc w:val="left"/>
      <w:pPr>
        <w:ind w:left="18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77831F73"/>
    <w:multiLevelType w:val="hybridMultilevel"/>
    <w:tmpl w:val="AC7C9130"/>
    <w:lvl w:ilvl="0" w:tplc="5A60A3E6">
      <w:start w:val="1"/>
      <w:numFmt w:val="decimal"/>
      <w:lvlText w:val="(%1)"/>
      <w:lvlJc w:val="left"/>
      <w:pPr>
        <w:ind w:left="360" w:hanging="360"/>
      </w:pPr>
      <w:rPr>
        <w:rFonts w:ascii="Times New Roman" w:eastAsia="Times New Roman" w:hAnsi="Times New Roman" w:cs="Times New Roman"/>
        <w:b w:val="0"/>
        <w:bCs/>
      </w:rPr>
    </w:lvl>
    <w:lvl w:ilvl="1" w:tplc="04080019">
      <w:start w:val="1"/>
      <w:numFmt w:val="lowerLetter"/>
      <w:lvlText w:val="%2."/>
      <w:lvlJc w:val="left"/>
      <w:pPr>
        <w:ind w:left="447" w:hanging="360"/>
      </w:pPr>
    </w:lvl>
    <w:lvl w:ilvl="2" w:tplc="0408001B">
      <w:start w:val="1"/>
      <w:numFmt w:val="lowerRoman"/>
      <w:lvlText w:val="%3."/>
      <w:lvlJc w:val="right"/>
      <w:pPr>
        <w:ind w:left="1167" w:hanging="180"/>
      </w:pPr>
    </w:lvl>
    <w:lvl w:ilvl="3" w:tplc="0408000F">
      <w:start w:val="1"/>
      <w:numFmt w:val="decimal"/>
      <w:lvlText w:val="%4."/>
      <w:lvlJc w:val="left"/>
      <w:pPr>
        <w:ind w:left="1887" w:hanging="360"/>
      </w:pPr>
    </w:lvl>
    <w:lvl w:ilvl="4" w:tplc="04080019">
      <w:start w:val="1"/>
      <w:numFmt w:val="lowerLetter"/>
      <w:lvlText w:val="%5."/>
      <w:lvlJc w:val="left"/>
      <w:pPr>
        <w:ind w:left="2607" w:hanging="360"/>
      </w:pPr>
    </w:lvl>
    <w:lvl w:ilvl="5" w:tplc="0408001B">
      <w:start w:val="1"/>
      <w:numFmt w:val="lowerRoman"/>
      <w:lvlText w:val="%6."/>
      <w:lvlJc w:val="right"/>
      <w:pPr>
        <w:ind w:left="3327" w:hanging="180"/>
      </w:pPr>
    </w:lvl>
    <w:lvl w:ilvl="6" w:tplc="0408000F">
      <w:start w:val="1"/>
      <w:numFmt w:val="decimal"/>
      <w:lvlText w:val="%7."/>
      <w:lvlJc w:val="left"/>
      <w:pPr>
        <w:ind w:left="4047" w:hanging="360"/>
      </w:pPr>
    </w:lvl>
    <w:lvl w:ilvl="7" w:tplc="04080019">
      <w:start w:val="1"/>
      <w:numFmt w:val="lowerLetter"/>
      <w:lvlText w:val="%8."/>
      <w:lvlJc w:val="left"/>
      <w:pPr>
        <w:ind w:left="4767" w:hanging="360"/>
      </w:pPr>
    </w:lvl>
    <w:lvl w:ilvl="8" w:tplc="0408001B">
      <w:start w:val="1"/>
      <w:numFmt w:val="lowerRoman"/>
      <w:lvlText w:val="%9."/>
      <w:lvlJc w:val="right"/>
      <w:pPr>
        <w:ind w:left="54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pNY0FADPSp+5Oo+IzEF6zUm5rJNRBXxySfGjN+ybi6bfLE6mEHHnPmu4bcwmOjvZ7PQ+sKmHTNzoh+I9a5BIA==" w:salt="y8D4YnyzlDVrP3+jFK4Q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4B"/>
    <w:rsid w:val="00073C30"/>
    <w:rsid w:val="001553BC"/>
    <w:rsid w:val="00174B0E"/>
    <w:rsid w:val="001C5BBD"/>
    <w:rsid w:val="002F5BB2"/>
    <w:rsid w:val="003E6EDB"/>
    <w:rsid w:val="00462B4E"/>
    <w:rsid w:val="004777A1"/>
    <w:rsid w:val="004B3F7B"/>
    <w:rsid w:val="004E4BE5"/>
    <w:rsid w:val="00586637"/>
    <w:rsid w:val="0072187D"/>
    <w:rsid w:val="0073002C"/>
    <w:rsid w:val="007464CE"/>
    <w:rsid w:val="007E782E"/>
    <w:rsid w:val="008E6996"/>
    <w:rsid w:val="00A53B4B"/>
    <w:rsid w:val="00AC4703"/>
    <w:rsid w:val="00AE0454"/>
    <w:rsid w:val="00B2415B"/>
    <w:rsid w:val="00B8354A"/>
    <w:rsid w:val="00BA767D"/>
    <w:rsid w:val="00C41AEE"/>
    <w:rsid w:val="00C73843"/>
    <w:rsid w:val="00D2083F"/>
    <w:rsid w:val="00D574A9"/>
    <w:rsid w:val="00D72579"/>
    <w:rsid w:val="00D73FFE"/>
    <w:rsid w:val="00E25CBB"/>
    <w:rsid w:val="00E619CF"/>
    <w:rsid w:val="00E75114"/>
    <w:rsid w:val="00F76667"/>
    <w:rsid w:val="00F97C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6C0B42-9147-463F-A4DE-BC179523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B4B"/>
    <w:pPr>
      <w:snapToGrid w:val="0"/>
      <w:spacing w:before="240" w:line="360" w:lineRule="auto"/>
      <w:jc w:val="both"/>
    </w:pPr>
    <w:rPr>
      <w:rFonts w:asciiTheme="majorHAnsi" w:hAnsiTheme="majorHAnsi"/>
      <w:sz w:val="22"/>
      <w:lang w:eastAsia="en-US"/>
    </w:rPr>
  </w:style>
  <w:style w:type="paragraph" w:styleId="Heading2">
    <w:name w:val="heading 2"/>
    <w:basedOn w:val="Normal"/>
    <w:next w:val="Normal"/>
    <w:link w:val="Heading2Char"/>
    <w:semiHidden/>
    <w:unhideWhenUsed/>
    <w:qFormat/>
    <w:rsid w:val="00A53B4B"/>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B4B"/>
    <w:pPr>
      <w:ind w:left="720"/>
      <w:contextualSpacing/>
    </w:pPr>
  </w:style>
  <w:style w:type="paragraph" w:customStyle="1" w:styleId="Appendix">
    <w:name w:val="Appendix"/>
    <w:basedOn w:val="Heading2"/>
    <w:next w:val="Normal"/>
    <w:qFormat/>
    <w:rsid w:val="00A53B4B"/>
    <w:pPr>
      <w:keepLines w:val="0"/>
      <w:pageBreakBefore/>
      <w:numPr>
        <w:numId w:val="1"/>
      </w:numPr>
      <w:tabs>
        <w:tab w:val="num" w:pos="360"/>
      </w:tabs>
      <w:spacing w:before="480" w:after="360"/>
      <w:ind w:left="1842" w:hanging="1916"/>
    </w:pPr>
    <w:rPr>
      <w:rFonts w:eastAsia="Times New Roman" w:cstheme="minorBidi"/>
      <w:bCs w:val="0"/>
      <w:color w:val="auto"/>
      <w:sz w:val="28"/>
      <w:szCs w:val="22"/>
    </w:rPr>
  </w:style>
  <w:style w:type="paragraph" w:customStyle="1" w:styleId="Appendix2">
    <w:name w:val="Appendix2"/>
    <w:basedOn w:val="Appendix"/>
    <w:qFormat/>
    <w:rsid w:val="00A53B4B"/>
    <w:pPr>
      <w:pageBreakBefore w:val="0"/>
      <w:numPr>
        <w:ilvl w:val="1"/>
      </w:numPr>
      <w:tabs>
        <w:tab w:val="num" w:pos="360"/>
      </w:tabs>
      <w:ind w:left="567" w:hanging="357"/>
    </w:pPr>
  </w:style>
  <w:style w:type="character" w:customStyle="1" w:styleId="Heading2Char">
    <w:name w:val="Heading 2 Char"/>
    <w:basedOn w:val="DefaultParagraphFont"/>
    <w:link w:val="Heading2"/>
    <w:semiHidden/>
    <w:rsid w:val="00A53B4B"/>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rsid w:val="004777A1"/>
    <w:pPr>
      <w:tabs>
        <w:tab w:val="center" w:pos="4153"/>
        <w:tab w:val="right" w:pos="8306"/>
      </w:tabs>
      <w:spacing w:before="0" w:line="240" w:lineRule="auto"/>
    </w:pPr>
  </w:style>
  <w:style w:type="character" w:customStyle="1" w:styleId="HeaderChar">
    <w:name w:val="Header Char"/>
    <w:basedOn w:val="DefaultParagraphFont"/>
    <w:link w:val="Header"/>
    <w:rsid w:val="004777A1"/>
    <w:rPr>
      <w:rFonts w:asciiTheme="majorHAnsi" w:hAnsiTheme="majorHAnsi"/>
      <w:sz w:val="22"/>
      <w:lang w:eastAsia="en-US"/>
    </w:rPr>
  </w:style>
  <w:style w:type="paragraph" w:styleId="Footer">
    <w:name w:val="footer"/>
    <w:basedOn w:val="Normal"/>
    <w:link w:val="FooterChar"/>
    <w:uiPriority w:val="99"/>
    <w:rsid w:val="004777A1"/>
    <w:pPr>
      <w:tabs>
        <w:tab w:val="center" w:pos="4153"/>
        <w:tab w:val="right" w:pos="8306"/>
      </w:tabs>
      <w:spacing w:before="0" w:line="240" w:lineRule="auto"/>
    </w:pPr>
  </w:style>
  <w:style w:type="character" w:customStyle="1" w:styleId="FooterChar">
    <w:name w:val="Footer Char"/>
    <w:basedOn w:val="DefaultParagraphFont"/>
    <w:link w:val="Footer"/>
    <w:uiPriority w:val="99"/>
    <w:rsid w:val="004777A1"/>
    <w:rPr>
      <w:rFonts w:asciiTheme="majorHAnsi" w:hAnsiTheme="majorHAnsi"/>
      <w:sz w:val="22"/>
      <w:lang w:eastAsia="en-US"/>
    </w:rPr>
  </w:style>
  <w:style w:type="paragraph" w:styleId="BalloonText">
    <w:name w:val="Balloon Text"/>
    <w:basedOn w:val="Normal"/>
    <w:link w:val="BalloonTextChar"/>
    <w:rsid w:val="00073C3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073C30"/>
    <w:rPr>
      <w:rFonts w:ascii="Tahoma" w:hAnsi="Tahoma" w:cs="Tahoma"/>
      <w:sz w:val="16"/>
      <w:szCs w:val="16"/>
      <w:lang w:eastAsia="en-US"/>
    </w:rPr>
  </w:style>
  <w:style w:type="character" w:styleId="CommentReference">
    <w:name w:val="annotation reference"/>
    <w:basedOn w:val="DefaultParagraphFont"/>
    <w:rsid w:val="00B8354A"/>
    <w:rPr>
      <w:sz w:val="16"/>
      <w:szCs w:val="16"/>
    </w:rPr>
  </w:style>
  <w:style w:type="paragraph" w:styleId="CommentText">
    <w:name w:val="annotation text"/>
    <w:basedOn w:val="Normal"/>
    <w:link w:val="CommentTextChar"/>
    <w:rsid w:val="00B8354A"/>
    <w:pPr>
      <w:spacing w:line="240" w:lineRule="auto"/>
    </w:pPr>
    <w:rPr>
      <w:sz w:val="20"/>
    </w:rPr>
  </w:style>
  <w:style w:type="character" w:customStyle="1" w:styleId="CommentTextChar">
    <w:name w:val="Comment Text Char"/>
    <w:basedOn w:val="DefaultParagraphFont"/>
    <w:link w:val="CommentText"/>
    <w:rsid w:val="00B8354A"/>
    <w:rPr>
      <w:rFonts w:asciiTheme="majorHAnsi" w:hAnsiTheme="majorHAnsi"/>
      <w:lang w:eastAsia="en-US"/>
    </w:rPr>
  </w:style>
  <w:style w:type="paragraph" w:styleId="CommentSubject">
    <w:name w:val="annotation subject"/>
    <w:basedOn w:val="CommentText"/>
    <w:next w:val="CommentText"/>
    <w:link w:val="CommentSubjectChar"/>
    <w:rsid w:val="00B8354A"/>
    <w:rPr>
      <w:b/>
      <w:bCs/>
    </w:rPr>
  </w:style>
  <w:style w:type="character" w:customStyle="1" w:styleId="CommentSubjectChar">
    <w:name w:val="Comment Subject Char"/>
    <w:basedOn w:val="CommentTextChar"/>
    <w:link w:val="CommentSubject"/>
    <w:rsid w:val="00B8354A"/>
    <w:rPr>
      <w:rFonts w:asciiTheme="majorHAnsi" w:hAnsiTheme="maj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3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1365</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ATHEX</dc:creator>
  <cp:lastModifiedBy>Mountaki, Alexandra</cp:lastModifiedBy>
  <cp:revision>2</cp:revision>
  <dcterms:created xsi:type="dcterms:W3CDTF">2017-03-13T10:36:00Z</dcterms:created>
  <dcterms:modified xsi:type="dcterms:W3CDTF">2017-03-13T10:36:00Z</dcterms:modified>
</cp:coreProperties>
</file>