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9A0A3F" w:rsidP="00820504">
      <w:pPr>
        <w:pStyle w:val="DateNew"/>
      </w:pPr>
      <w:r w:rsidRPr="007329A5">
        <w:t>8</w:t>
      </w:r>
      <w:r w:rsidR="00EF30E5" w:rsidRPr="009A0A3F">
        <w:t xml:space="preserve"> </w:t>
      </w:r>
      <w:r w:rsidRPr="009A0A3F">
        <w:t>Ιανουα</w:t>
      </w:r>
      <w:r w:rsidR="0027020F" w:rsidRPr="009A0A3F">
        <w:t>ρίου</w:t>
      </w:r>
      <w:r w:rsidR="00A97B21" w:rsidRPr="009A0A3F">
        <w:t xml:space="preserve"> </w:t>
      </w:r>
      <w:r w:rsidR="00CB6708" w:rsidRPr="009A0A3F">
        <w:rPr>
          <w:noProof/>
          <w:lang w:eastAsia="el-GR"/>
        </w:rPr>
        <mc:AlternateContent>
          <mc:Choice Requires="wps">
            <w:drawing>
              <wp:anchor distT="0" distB="0" distL="114300" distR="114300" simplePos="0" relativeHeight="251658240" behindDoc="0" locked="0" layoutInCell="1" allowOverlap="1" wp14:anchorId="0B4C9C85" wp14:editId="151D5EF4">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9A0A3F">
        <w:t>201</w:t>
      </w:r>
      <w:r w:rsidRPr="009A0A3F">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9C50A4"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01729E" w:rsidRPr="0001729E">
        <w:rPr>
          <w:b/>
          <w:bCs/>
          <w:iCs/>
        </w:rPr>
        <w:t>Δεκεμβρίου 2017</w:t>
      </w:r>
      <w:r w:rsidRPr="00EF30E5">
        <w:rPr>
          <w:b/>
          <w:bCs/>
          <w:iCs/>
        </w:rPr>
        <w:t>.</w:t>
      </w:r>
      <w:r>
        <w:rPr>
          <w:b/>
          <w:bCs/>
          <w:iCs/>
        </w:rPr>
        <w:t xml:space="preserve"> </w:t>
      </w:r>
    </w:p>
    <w:p w:rsidR="00EF30E5" w:rsidRPr="009C50A4" w:rsidRDefault="00F066B3" w:rsidP="00EF30E5">
      <w:pPr>
        <w:rPr>
          <w:b/>
          <w:bCs/>
          <w:iCs/>
          <w:u w:val="single"/>
        </w:rPr>
      </w:pPr>
      <w:r w:rsidRPr="009C50A4">
        <w:rPr>
          <w:b/>
          <w:bCs/>
          <w:iCs/>
          <w:u w:val="single"/>
        </w:rPr>
        <w:t xml:space="preserve">Τον </w:t>
      </w:r>
      <w:r w:rsidR="0001729E" w:rsidRPr="009C50A4">
        <w:rPr>
          <w:b/>
          <w:bCs/>
          <w:iCs/>
          <w:u w:val="single"/>
        </w:rPr>
        <w:t>Δεκέμβριο 2017</w:t>
      </w:r>
      <w:r w:rsidRPr="009C50A4">
        <w:rPr>
          <w:b/>
          <w:bCs/>
          <w:iCs/>
          <w:u w:val="single"/>
        </w:rPr>
        <w:t xml:space="preserve"> </w:t>
      </w:r>
      <w:r w:rsidR="00EF30E5" w:rsidRPr="009C50A4">
        <w:rPr>
          <w:b/>
          <w:bCs/>
          <w:iCs/>
          <w:u w:val="single"/>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01729E" w:rsidRPr="0001729E">
        <w:rPr>
          <w:b/>
          <w:bCs/>
          <w:iCs/>
        </w:rPr>
        <w:t>43,54</w:t>
      </w:r>
      <w:r w:rsidR="00C7188E" w:rsidRPr="00C7188E">
        <w:rPr>
          <w:b/>
          <w:bCs/>
          <w:iCs/>
        </w:rPr>
        <w:t xml:space="preserve"> </w:t>
      </w:r>
      <w:r w:rsidRPr="00F03EFC">
        <w:rPr>
          <w:b/>
          <w:bCs/>
          <w:iCs/>
        </w:rPr>
        <w:t xml:space="preserve">δισ., </w:t>
      </w:r>
      <w:r w:rsidR="0001729E" w:rsidRPr="0001729E">
        <w:rPr>
          <w:b/>
          <w:bCs/>
          <w:iCs/>
        </w:rPr>
        <w:t>αυξημένη</w:t>
      </w:r>
      <w:r w:rsidR="00F066B3">
        <w:rPr>
          <w:b/>
          <w:bCs/>
          <w:iCs/>
        </w:rPr>
        <w:t xml:space="preserve"> </w:t>
      </w:r>
      <w:r w:rsidRPr="00F03EFC">
        <w:rPr>
          <w:b/>
          <w:bCs/>
          <w:iCs/>
        </w:rPr>
        <w:t xml:space="preserve">κατά </w:t>
      </w:r>
      <w:r w:rsidR="0001729E" w:rsidRPr="0001729E">
        <w:rPr>
          <w:b/>
          <w:bCs/>
          <w:iCs/>
        </w:rPr>
        <w:t>8,4%</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01729E" w:rsidRPr="0001729E">
        <w:rPr>
          <w:b/>
          <w:bCs/>
          <w:iCs/>
        </w:rPr>
        <w:t>αύξηση</w:t>
      </w:r>
      <w:r w:rsidRPr="00F03EFC">
        <w:rPr>
          <w:b/>
          <w:bCs/>
          <w:iCs/>
        </w:rPr>
        <w:t xml:space="preserve"> αγγίζει το </w:t>
      </w:r>
      <w:r w:rsidR="0001729E" w:rsidRPr="0001729E">
        <w:rPr>
          <w:b/>
          <w:bCs/>
          <w:iCs/>
        </w:rPr>
        <w:t>7,</w:t>
      </w:r>
      <w:r w:rsidR="005952A6" w:rsidRPr="005952A6">
        <w:rPr>
          <w:b/>
          <w:bCs/>
          <w:iCs/>
        </w:rPr>
        <w:t>8</w:t>
      </w:r>
      <w:r w:rsidR="0001729E" w:rsidRPr="0001729E">
        <w:rPr>
          <w:b/>
          <w:bCs/>
          <w:iCs/>
        </w:rPr>
        <w:t>%</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01729E" w:rsidRPr="0001729E">
        <w:rPr>
          <w:b/>
          <w:bCs/>
          <w:iCs/>
        </w:rPr>
        <w:t>Δεκεμβρίου</w:t>
      </w:r>
      <w:r w:rsidRPr="00F03EFC">
        <w:rPr>
          <w:b/>
          <w:bCs/>
          <w:iCs/>
        </w:rPr>
        <w:t xml:space="preserve">, ήταν </w:t>
      </w:r>
      <w:r w:rsidR="0001729E" w:rsidRPr="0001729E">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01729E" w:rsidRPr="0001729E">
        <w:rPr>
          <w:b/>
          <w:bCs/>
          <w:iCs/>
        </w:rPr>
        <w:t>66,4%</w:t>
      </w:r>
      <w:r w:rsidR="004377D4">
        <w:rPr>
          <w:b/>
          <w:bCs/>
          <w:iCs/>
        </w:rPr>
        <w:t xml:space="preserve"> </w:t>
      </w:r>
      <w:r w:rsidRPr="00F03EFC">
        <w:rPr>
          <w:b/>
          <w:bCs/>
          <w:iCs/>
        </w:rPr>
        <w:t xml:space="preserve">έναντι </w:t>
      </w:r>
      <w:r w:rsidR="0001729E" w:rsidRPr="0001729E">
        <w:rPr>
          <w:b/>
          <w:bCs/>
          <w:iCs/>
        </w:rPr>
        <w:t>64,8%</w:t>
      </w:r>
      <w:r w:rsidR="004377D4">
        <w:rPr>
          <w:b/>
          <w:bCs/>
          <w:iCs/>
        </w:rPr>
        <w:t xml:space="preserve"> </w:t>
      </w:r>
      <w:r w:rsidRPr="00F03EFC">
        <w:rPr>
          <w:b/>
          <w:bCs/>
          <w:iCs/>
        </w:rPr>
        <w:t xml:space="preserve">στο τέλος του προηγούμενου μήνα, καταγράφοντας </w:t>
      </w:r>
      <w:r w:rsidR="0001729E" w:rsidRPr="0001729E">
        <w:rPr>
          <w:b/>
          <w:bCs/>
          <w:iCs/>
        </w:rPr>
        <w:t>αύξηση</w:t>
      </w:r>
      <w:r w:rsidR="00A85295">
        <w:rPr>
          <w:b/>
          <w:bCs/>
          <w:iCs/>
        </w:rPr>
        <w:t xml:space="preserve"> της τάξεως του </w:t>
      </w:r>
      <w:r w:rsidR="0001729E" w:rsidRPr="0001729E">
        <w:rPr>
          <w:b/>
          <w:bCs/>
          <w:iCs/>
        </w:rPr>
        <w:t>2,5%</w:t>
      </w:r>
      <w:r w:rsidRPr="00F03EFC">
        <w:rPr>
          <w:b/>
          <w:bCs/>
          <w:iCs/>
        </w:rPr>
        <w:t>. Ωστόσο,</w:t>
      </w:r>
      <w:r w:rsidR="007D34B0">
        <w:rPr>
          <w:b/>
          <w:bCs/>
          <w:iCs/>
        </w:rPr>
        <w:t xml:space="preserve"> </w:t>
      </w:r>
      <w:r w:rsidRPr="00F03EFC">
        <w:rPr>
          <w:b/>
          <w:bCs/>
          <w:iCs/>
        </w:rPr>
        <w:t>συνυπολογίζοντας την συμμετοχή του ΤΧΣ (</w:t>
      </w:r>
      <w:r w:rsidR="0001729E" w:rsidRPr="0001729E">
        <w:rPr>
          <w:b/>
          <w:bCs/>
          <w:iCs/>
        </w:rPr>
        <w:t>1.879,39</w:t>
      </w:r>
      <w:r w:rsidR="00156469">
        <w:rPr>
          <w:b/>
          <w:bCs/>
          <w:iCs/>
        </w:rPr>
        <w:t xml:space="preserve"> </w:t>
      </w:r>
      <w:r w:rsidRPr="00F03EFC">
        <w:rPr>
          <w:b/>
          <w:bCs/>
          <w:iCs/>
        </w:rPr>
        <w:t xml:space="preserve">εκατ. ευρώ ή </w:t>
      </w:r>
      <w:r w:rsidR="0001729E" w:rsidRPr="0001729E">
        <w:rPr>
          <w:b/>
          <w:bCs/>
          <w:iCs/>
        </w:rPr>
        <w:t>4,3%</w:t>
      </w:r>
      <w:r w:rsidRPr="00F03EFC">
        <w:rPr>
          <w:b/>
          <w:bCs/>
          <w:iCs/>
        </w:rPr>
        <w:t xml:space="preserve">) στη συνολική κεφαλαιοποίηση της Ελληνικής αγοράς η συμμετοχή των ξένων επενδυτών ανέρχεται σε </w:t>
      </w:r>
      <w:r w:rsidR="0001729E" w:rsidRPr="0001729E">
        <w:rPr>
          <w:b/>
          <w:bCs/>
          <w:iCs/>
        </w:rPr>
        <w:t>63,5%</w:t>
      </w:r>
      <w:r w:rsidR="008101F5">
        <w:rPr>
          <w:b/>
          <w:bCs/>
          <w:iCs/>
        </w:rPr>
        <w:t xml:space="preserve"> </w:t>
      </w:r>
      <w:r w:rsidR="002525C8">
        <w:rPr>
          <w:b/>
          <w:bCs/>
          <w:iCs/>
        </w:rPr>
        <w:t xml:space="preserve">έναντι 62,3% τον προηγούμενο μήνα </w:t>
      </w:r>
      <w:r w:rsidRPr="00F03EFC">
        <w:rPr>
          <w:b/>
          <w:bCs/>
          <w:iCs/>
        </w:rPr>
        <w:t xml:space="preserve">παρουσιάζοντας </w:t>
      </w:r>
      <w:r w:rsidR="0001729E" w:rsidRPr="0001729E">
        <w:rPr>
          <w:b/>
          <w:bCs/>
          <w:iCs/>
        </w:rPr>
        <w:t>αύξηση</w:t>
      </w:r>
      <w:r w:rsidR="008101F5">
        <w:rPr>
          <w:b/>
          <w:bCs/>
          <w:iCs/>
        </w:rPr>
        <w:t xml:space="preserve"> </w:t>
      </w:r>
      <w:r w:rsidRPr="00F03EFC">
        <w:rPr>
          <w:b/>
          <w:bCs/>
          <w:iCs/>
        </w:rPr>
        <w:t xml:space="preserve">της τάξεως του </w:t>
      </w:r>
      <w:r w:rsidR="0001729E" w:rsidRPr="0001729E">
        <w:rPr>
          <w:b/>
          <w:bCs/>
          <w:iCs/>
        </w:rPr>
        <w:t>1,9%</w:t>
      </w:r>
      <w:r w:rsidR="002525C8">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01729E" w:rsidRPr="0001729E">
        <w:rPr>
          <w:b/>
          <w:bCs/>
          <w:iCs/>
        </w:rPr>
        <w:t>1,35</w:t>
      </w:r>
      <w:r w:rsidR="00724BAE">
        <w:rPr>
          <w:b/>
          <w:bCs/>
          <w:iCs/>
        </w:rPr>
        <w:t xml:space="preserve"> </w:t>
      </w:r>
      <w:r w:rsidRPr="00F03EFC">
        <w:rPr>
          <w:b/>
          <w:bCs/>
          <w:iCs/>
        </w:rPr>
        <w:t>δις (</w:t>
      </w:r>
      <w:r w:rsidR="0001729E" w:rsidRPr="0001729E">
        <w:rPr>
          <w:b/>
          <w:bCs/>
          <w:iCs/>
        </w:rPr>
        <w:t>αυξημένη</w:t>
      </w:r>
      <w:r w:rsidR="00C8227D">
        <w:rPr>
          <w:b/>
          <w:bCs/>
          <w:iCs/>
        </w:rPr>
        <w:t xml:space="preserve"> </w:t>
      </w:r>
      <w:r w:rsidRPr="00F03EFC">
        <w:rPr>
          <w:b/>
          <w:bCs/>
          <w:iCs/>
        </w:rPr>
        <w:t xml:space="preserve">κατά </w:t>
      </w:r>
      <w:r w:rsidR="0001729E" w:rsidRPr="0001729E">
        <w:rPr>
          <w:b/>
          <w:bCs/>
          <w:iCs/>
        </w:rPr>
        <w:t>21,1%</w:t>
      </w:r>
      <w:r w:rsidR="00C8227D">
        <w:rPr>
          <w:b/>
          <w:bCs/>
          <w:iCs/>
        </w:rPr>
        <w:t xml:space="preserve"> </w:t>
      </w:r>
      <w:r w:rsidRPr="00F03EFC">
        <w:rPr>
          <w:b/>
          <w:bCs/>
          <w:iCs/>
        </w:rPr>
        <w:t xml:space="preserve">σε σχέση με τον προηγούμενο μήνα και </w:t>
      </w:r>
      <w:r w:rsidR="0001729E" w:rsidRPr="0001729E">
        <w:rPr>
          <w:b/>
          <w:bCs/>
          <w:iCs/>
        </w:rPr>
        <w:t>αυξημένη</w:t>
      </w:r>
      <w:r w:rsidR="00C8227D">
        <w:rPr>
          <w:b/>
          <w:bCs/>
          <w:iCs/>
        </w:rPr>
        <w:t xml:space="preserve"> </w:t>
      </w:r>
      <w:r w:rsidRPr="00F03EFC">
        <w:rPr>
          <w:b/>
          <w:bCs/>
          <w:iCs/>
        </w:rPr>
        <w:t xml:space="preserve">κατά </w:t>
      </w:r>
      <w:r w:rsidR="0001729E" w:rsidRPr="0001729E">
        <w:rPr>
          <w:b/>
          <w:bCs/>
          <w:iCs/>
        </w:rPr>
        <w:t>12,2%</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01729E" w:rsidRPr="0001729E">
        <w:rPr>
          <w:b/>
          <w:bCs/>
          <w:iCs/>
        </w:rPr>
        <w:t>1.316.337.604</w:t>
      </w:r>
      <w:r w:rsidR="00713276" w:rsidRPr="00713276">
        <w:rPr>
          <w:b/>
          <w:bCs/>
          <w:iCs/>
        </w:rPr>
        <w:t xml:space="preserve"> </w:t>
      </w:r>
      <w:r w:rsidRPr="00F03EFC">
        <w:rPr>
          <w:b/>
          <w:bCs/>
          <w:iCs/>
        </w:rPr>
        <w:t xml:space="preserve">τεμάχια καταγράφοντας </w:t>
      </w:r>
      <w:r w:rsidR="0001729E" w:rsidRPr="0001729E">
        <w:rPr>
          <w:b/>
          <w:bCs/>
          <w:iCs/>
        </w:rPr>
        <w:t>αύξηση</w:t>
      </w:r>
      <w:r w:rsidR="00713276" w:rsidRPr="00713276">
        <w:rPr>
          <w:b/>
          <w:bCs/>
          <w:iCs/>
        </w:rPr>
        <w:t xml:space="preserve"> </w:t>
      </w:r>
      <w:r w:rsidR="0001729E" w:rsidRPr="0001729E">
        <w:rPr>
          <w:b/>
          <w:bCs/>
          <w:iCs/>
        </w:rPr>
        <w:t>23,7%</w:t>
      </w:r>
      <w:r w:rsidR="00713276" w:rsidRPr="00713276">
        <w:rPr>
          <w:b/>
          <w:bCs/>
          <w:iCs/>
        </w:rPr>
        <w:t xml:space="preserve"> </w:t>
      </w:r>
      <w:r w:rsidRPr="00F03EFC">
        <w:rPr>
          <w:b/>
          <w:bCs/>
          <w:iCs/>
        </w:rPr>
        <w:t>σε σχέση με τον προηγούμενο μήνα (</w:t>
      </w:r>
      <w:r w:rsidR="0001729E" w:rsidRPr="0001729E">
        <w:rPr>
          <w:b/>
          <w:bCs/>
          <w:iCs/>
        </w:rPr>
        <w:t>1.064.253.813</w:t>
      </w:r>
      <w:r w:rsidR="00713276" w:rsidRPr="00713276">
        <w:rPr>
          <w:b/>
          <w:bCs/>
          <w:iCs/>
        </w:rPr>
        <w:t xml:space="preserve"> </w:t>
      </w:r>
      <w:r w:rsidRPr="00F03EFC">
        <w:rPr>
          <w:b/>
          <w:bCs/>
          <w:iCs/>
        </w:rPr>
        <w:t xml:space="preserve">τεμάχια) και </w:t>
      </w:r>
      <w:r w:rsidR="0001729E" w:rsidRPr="0001729E">
        <w:rPr>
          <w:b/>
          <w:bCs/>
          <w:iCs/>
        </w:rPr>
        <w:t>μείωση</w:t>
      </w:r>
      <w:r w:rsidR="00713276" w:rsidRPr="00713276">
        <w:rPr>
          <w:b/>
          <w:bCs/>
          <w:iCs/>
        </w:rPr>
        <w:t xml:space="preserve"> </w:t>
      </w:r>
      <w:r w:rsidR="0001729E" w:rsidRPr="0001729E">
        <w:rPr>
          <w:b/>
          <w:bCs/>
          <w:iCs/>
        </w:rPr>
        <w:t>33,1%</w:t>
      </w:r>
      <w:r w:rsidR="00713276" w:rsidRPr="00713276">
        <w:rPr>
          <w:b/>
          <w:bCs/>
          <w:iCs/>
        </w:rPr>
        <w:t xml:space="preserve"> </w:t>
      </w:r>
      <w:r w:rsidRPr="00F03EFC">
        <w:rPr>
          <w:b/>
          <w:bCs/>
          <w:iCs/>
        </w:rPr>
        <w:t xml:space="preserve">σε σχέση με τον </w:t>
      </w:r>
      <w:r w:rsidR="0001729E" w:rsidRPr="0001729E">
        <w:rPr>
          <w:b/>
          <w:bCs/>
          <w:iCs/>
        </w:rPr>
        <w:t>Δεκέμβριο του 2016</w:t>
      </w:r>
      <w:r w:rsidR="00713276" w:rsidRPr="00713276">
        <w:rPr>
          <w:b/>
          <w:bCs/>
          <w:iCs/>
        </w:rPr>
        <w:t xml:space="preserve"> </w:t>
      </w:r>
      <w:r w:rsidRPr="00F03EFC">
        <w:rPr>
          <w:b/>
          <w:bCs/>
          <w:iCs/>
        </w:rPr>
        <w:t>(</w:t>
      </w:r>
      <w:r w:rsidR="0001729E" w:rsidRPr="0001729E">
        <w:rPr>
          <w:b/>
          <w:bCs/>
          <w:iCs/>
        </w:rPr>
        <w:t>1.967.303.596</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01729E" w:rsidRPr="0001729E">
        <w:rPr>
          <w:b/>
          <w:bCs/>
          <w:iCs/>
        </w:rPr>
        <w:t>Δεκέμβριο 2017</w:t>
      </w:r>
      <w:r w:rsidR="001B0C65" w:rsidRPr="001B0C65">
        <w:rPr>
          <w:b/>
          <w:bCs/>
          <w:iCs/>
        </w:rPr>
        <w:t xml:space="preserve"> </w:t>
      </w:r>
      <w:r w:rsidRPr="00F03EFC">
        <w:rPr>
          <w:b/>
          <w:bCs/>
          <w:iCs/>
        </w:rPr>
        <w:t xml:space="preserve">πραγματοποίησαν το </w:t>
      </w:r>
      <w:r w:rsidR="0001729E" w:rsidRPr="0001729E">
        <w:rPr>
          <w:b/>
          <w:bCs/>
          <w:iCs/>
        </w:rPr>
        <w:t>64,3%</w:t>
      </w:r>
      <w:r w:rsidR="001B0C65" w:rsidRPr="001B0C65">
        <w:rPr>
          <w:b/>
          <w:bCs/>
          <w:iCs/>
        </w:rPr>
        <w:t xml:space="preserve"> </w:t>
      </w:r>
      <w:r w:rsidRPr="00F03EFC">
        <w:rPr>
          <w:b/>
          <w:bCs/>
          <w:iCs/>
        </w:rPr>
        <w:t>της συνολικής αξίας συναλλαγών.</w:t>
      </w:r>
    </w:p>
    <w:p w:rsidR="002D0B28" w:rsidRPr="00F03EFC" w:rsidRDefault="0001729E" w:rsidP="002D0B28">
      <w:pPr>
        <w:numPr>
          <w:ilvl w:val="0"/>
          <w:numId w:val="13"/>
        </w:numPr>
        <w:rPr>
          <w:b/>
          <w:bCs/>
          <w:iCs/>
        </w:rPr>
      </w:pPr>
      <w:r w:rsidRPr="0001729E">
        <w:rPr>
          <w:b/>
          <w:bCs/>
          <w:iCs/>
        </w:rPr>
        <w:t>16,97</w:t>
      </w:r>
      <w:r w:rsidR="00CD5B23" w:rsidRPr="00CD5B23">
        <w:rPr>
          <w:b/>
          <w:bCs/>
          <w:iCs/>
        </w:rPr>
        <w:t xml:space="preserve"> </w:t>
      </w:r>
      <w:r w:rsidR="002D0B28" w:rsidRPr="00F03EFC">
        <w:rPr>
          <w:b/>
          <w:bCs/>
          <w:iCs/>
        </w:rPr>
        <w:t xml:space="preserve">χιλιάδες Ενεργές Μερίδες επενδυτών (από </w:t>
      </w:r>
      <w:r w:rsidRPr="0001729E">
        <w:rPr>
          <w:b/>
          <w:bCs/>
          <w:iCs/>
        </w:rPr>
        <w:t>15,56</w:t>
      </w:r>
      <w:r w:rsidR="002D0B28" w:rsidRPr="00F03EFC">
        <w:rPr>
          <w:b/>
          <w:bCs/>
          <w:iCs/>
        </w:rPr>
        <w:t xml:space="preserve"> χιλιάδες τον προηγούμενο μήνα)</w:t>
      </w:r>
      <w:r w:rsidR="003B5303" w:rsidRPr="003B5303">
        <w:rPr>
          <w:b/>
          <w:bCs/>
          <w:iCs/>
        </w:rPr>
        <w:t>.</w:t>
      </w:r>
    </w:p>
    <w:p w:rsidR="002D0B28" w:rsidRPr="00F03EFC" w:rsidRDefault="0001729E" w:rsidP="002D0B28">
      <w:pPr>
        <w:numPr>
          <w:ilvl w:val="0"/>
          <w:numId w:val="13"/>
        </w:numPr>
        <w:rPr>
          <w:b/>
          <w:bCs/>
          <w:iCs/>
        </w:rPr>
      </w:pPr>
      <w:r w:rsidRPr="0001729E">
        <w:rPr>
          <w:b/>
          <w:bCs/>
          <w:iCs/>
        </w:rPr>
        <w:t>588</w:t>
      </w:r>
      <w:r w:rsidR="00CC795C" w:rsidRPr="00CC795C">
        <w:rPr>
          <w:b/>
          <w:bCs/>
          <w:iCs/>
        </w:rPr>
        <w:t xml:space="preserve"> </w:t>
      </w:r>
      <w:r w:rsidR="00031134">
        <w:rPr>
          <w:b/>
          <w:bCs/>
          <w:iCs/>
        </w:rPr>
        <w:t xml:space="preserve">Νέες Μερίδες επενδυτών (από </w:t>
      </w:r>
      <w:r w:rsidRPr="0001729E">
        <w:rPr>
          <w:b/>
          <w:bCs/>
          <w:iCs/>
        </w:rPr>
        <w:t>595</w:t>
      </w:r>
      <w:r w:rsidR="002D0B28" w:rsidRPr="00F03EFC">
        <w:rPr>
          <w:b/>
          <w:bCs/>
          <w:iCs/>
        </w:rPr>
        <w:t xml:space="preserve"> τον προηγούμενο μήνα)</w:t>
      </w:r>
      <w:r w:rsidR="003B5303" w:rsidRPr="003B5303">
        <w:rPr>
          <w:b/>
          <w:bCs/>
          <w:iCs/>
        </w:rPr>
        <w:t>.</w:t>
      </w:r>
    </w:p>
    <w:p w:rsidR="002D0B28" w:rsidRDefault="0001729E" w:rsidP="002D0B28">
      <w:pPr>
        <w:numPr>
          <w:ilvl w:val="0"/>
          <w:numId w:val="13"/>
        </w:numPr>
        <w:rPr>
          <w:b/>
          <w:bCs/>
          <w:iCs/>
        </w:rPr>
      </w:pPr>
      <w:r w:rsidRPr="0001729E">
        <w:rPr>
          <w:b/>
          <w:bCs/>
          <w:iCs/>
        </w:rPr>
        <w:lastRenderedPageBreak/>
        <w:t>Κέρδη</w:t>
      </w:r>
      <w:r w:rsidR="00A172E4" w:rsidRPr="00A172E4">
        <w:rPr>
          <w:b/>
          <w:bCs/>
          <w:iCs/>
        </w:rPr>
        <w:t xml:space="preserve"> </w:t>
      </w:r>
      <w:r w:rsidR="002D0B28" w:rsidRPr="00F03EFC">
        <w:rPr>
          <w:b/>
          <w:bCs/>
          <w:iCs/>
        </w:rPr>
        <w:t xml:space="preserve">της τάξης του </w:t>
      </w:r>
      <w:r w:rsidRPr="0001729E">
        <w:rPr>
          <w:b/>
          <w:bCs/>
          <w:iCs/>
        </w:rPr>
        <w:t>8,4%</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576B84" w:rsidRPr="00576B84" w:rsidRDefault="00576B84" w:rsidP="00576B84">
      <w:pPr>
        <w:rPr>
          <w:rFonts w:ascii="Calibri" w:hAnsi="Calibri"/>
          <w:b/>
          <w:bCs/>
          <w:u w:val="single"/>
        </w:rPr>
      </w:pPr>
      <w:r w:rsidRPr="00576B84">
        <w:rPr>
          <w:rFonts w:ascii="Calibri" w:hAnsi="Calibri"/>
          <w:b/>
          <w:bCs/>
          <w:u w:val="single"/>
        </w:rPr>
        <w:t>Συνοπτικά τα βασικά στατιστικά στοιχεία της αγοράς για το 201</w:t>
      </w:r>
      <w:r w:rsidR="00B84245" w:rsidRPr="00B84245">
        <w:rPr>
          <w:rFonts w:ascii="Calibri" w:hAnsi="Calibri"/>
          <w:b/>
          <w:bCs/>
          <w:u w:val="single"/>
        </w:rPr>
        <w:t>7</w:t>
      </w:r>
      <w:r w:rsidRPr="00576B84">
        <w:rPr>
          <w:rFonts w:ascii="Calibri" w:hAnsi="Calibri"/>
          <w:b/>
          <w:bCs/>
          <w:u w:val="single"/>
        </w:rPr>
        <w:t xml:space="preserve"> ήταν τα εξής:</w:t>
      </w:r>
    </w:p>
    <w:p w:rsidR="00576B84" w:rsidRPr="00576B84" w:rsidRDefault="000B395D" w:rsidP="00576B84">
      <w:pPr>
        <w:numPr>
          <w:ilvl w:val="0"/>
          <w:numId w:val="13"/>
        </w:numPr>
        <w:rPr>
          <w:b/>
          <w:bCs/>
          <w:iCs/>
        </w:rPr>
      </w:pPr>
      <w:r>
        <w:rPr>
          <w:b/>
          <w:bCs/>
          <w:iCs/>
        </w:rPr>
        <w:t>Σημαντική α</w:t>
      </w:r>
      <w:r w:rsidR="00576B84" w:rsidRPr="00576B84">
        <w:rPr>
          <w:b/>
          <w:bCs/>
          <w:iCs/>
        </w:rPr>
        <w:t xml:space="preserve">ύξηση της Συνολικής Κεφαλαιοποίησης της Αγοράς κατά </w:t>
      </w:r>
      <w:r>
        <w:rPr>
          <w:b/>
          <w:bCs/>
          <w:iCs/>
        </w:rPr>
        <w:t>10</w:t>
      </w:r>
      <w:r w:rsidR="00576B84" w:rsidRPr="00576B84">
        <w:rPr>
          <w:b/>
          <w:bCs/>
          <w:iCs/>
        </w:rPr>
        <w:t>,</w:t>
      </w:r>
      <w:r>
        <w:rPr>
          <w:b/>
          <w:bCs/>
          <w:iCs/>
        </w:rPr>
        <w:t>8</w:t>
      </w:r>
      <w:r w:rsidR="00576B84" w:rsidRPr="00576B84">
        <w:rPr>
          <w:b/>
          <w:bCs/>
          <w:iCs/>
        </w:rPr>
        <w:t>% σε σχέση με το 201</w:t>
      </w:r>
      <w:r>
        <w:rPr>
          <w:b/>
          <w:bCs/>
          <w:iCs/>
        </w:rPr>
        <w:t>6</w:t>
      </w:r>
      <w:r w:rsidR="00576B84" w:rsidRPr="00576B84">
        <w:rPr>
          <w:b/>
          <w:bCs/>
          <w:iCs/>
        </w:rPr>
        <w:t>. (€</w:t>
      </w:r>
      <w:r>
        <w:rPr>
          <w:b/>
          <w:bCs/>
          <w:iCs/>
        </w:rPr>
        <w:t>43</w:t>
      </w:r>
      <w:r w:rsidR="00576B84" w:rsidRPr="00576B84">
        <w:rPr>
          <w:b/>
          <w:bCs/>
          <w:iCs/>
        </w:rPr>
        <w:t>,</w:t>
      </w:r>
      <w:r>
        <w:rPr>
          <w:b/>
          <w:bCs/>
          <w:iCs/>
        </w:rPr>
        <w:t>54</w:t>
      </w:r>
      <w:r w:rsidR="00576B84" w:rsidRPr="00576B84">
        <w:rPr>
          <w:b/>
          <w:bCs/>
          <w:iCs/>
        </w:rPr>
        <w:t xml:space="preserve"> δισ. στις </w:t>
      </w:r>
      <w:r>
        <w:rPr>
          <w:b/>
          <w:bCs/>
          <w:iCs/>
        </w:rPr>
        <w:t>29</w:t>
      </w:r>
      <w:r w:rsidR="00576B84" w:rsidRPr="00576B84">
        <w:rPr>
          <w:b/>
          <w:bCs/>
          <w:iCs/>
        </w:rPr>
        <w:t>/12/201</w:t>
      </w:r>
      <w:r>
        <w:rPr>
          <w:b/>
          <w:bCs/>
          <w:iCs/>
        </w:rPr>
        <w:t>7</w:t>
      </w:r>
      <w:r w:rsidR="00576B84" w:rsidRPr="00576B84">
        <w:rPr>
          <w:b/>
          <w:bCs/>
          <w:iCs/>
        </w:rPr>
        <w:t xml:space="preserve"> έναντι €39,2</w:t>
      </w:r>
      <w:r>
        <w:rPr>
          <w:b/>
          <w:bCs/>
          <w:iCs/>
        </w:rPr>
        <w:t>9</w:t>
      </w:r>
      <w:r w:rsidR="00576B84" w:rsidRPr="00576B84">
        <w:rPr>
          <w:b/>
          <w:bCs/>
          <w:iCs/>
        </w:rPr>
        <w:t xml:space="preserve"> δισ. στις 3</w:t>
      </w:r>
      <w:r>
        <w:rPr>
          <w:b/>
          <w:bCs/>
          <w:iCs/>
        </w:rPr>
        <w:t>0</w:t>
      </w:r>
      <w:r w:rsidR="00576B84" w:rsidRPr="00576B84">
        <w:rPr>
          <w:b/>
          <w:bCs/>
          <w:iCs/>
        </w:rPr>
        <w:t>/12/201</w:t>
      </w:r>
      <w:r>
        <w:rPr>
          <w:b/>
          <w:bCs/>
          <w:iCs/>
        </w:rPr>
        <w:t>6</w:t>
      </w:r>
      <w:r w:rsidR="00576B84" w:rsidRPr="00576B84">
        <w:rPr>
          <w:b/>
          <w:bCs/>
          <w:iCs/>
        </w:rPr>
        <w:t xml:space="preserve">). Ωστόσο χωρίς την συμμετοχή του ΤΧΣ στη συνολική κεφαλαιοποίηση της ελληνικής αγοράς </w:t>
      </w:r>
      <w:r w:rsidR="00182FEB">
        <w:rPr>
          <w:b/>
          <w:bCs/>
          <w:iCs/>
        </w:rPr>
        <w:t>(</w:t>
      </w:r>
      <w:r w:rsidR="00182FEB" w:rsidRPr="00576B84">
        <w:rPr>
          <w:b/>
          <w:bCs/>
          <w:iCs/>
        </w:rPr>
        <w:t>€</w:t>
      </w:r>
      <w:r w:rsidR="00182FEB" w:rsidRPr="0001729E">
        <w:rPr>
          <w:b/>
          <w:bCs/>
          <w:iCs/>
        </w:rPr>
        <w:t>1.879,39</w:t>
      </w:r>
      <w:r w:rsidR="00182FEB">
        <w:rPr>
          <w:b/>
          <w:bCs/>
          <w:iCs/>
        </w:rPr>
        <w:t xml:space="preserve"> </w:t>
      </w:r>
      <w:r w:rsidR="00182FEB" w:rsidRPr="00F03EFC">
        <w:rPr>
          <w:b/>
          <w:bCs/>
          <w:iCs/>
        </w:rPr>
        <w:t xml:space="preserve">εκατ. ή </w:t>
      </w:r>
      <w:r w:rsidR="00182FEB" w:rsidRPr="0001729E">
        <w:rPr>
          <w:b/>
          <w:bCs/>
          <w:iCs/>
        </w:rPr>
        <w:t>4,3%</w:t>
      </w:r>
      <w:r w:rsidR="00182FEB">
        <w:rPr>
          <w:b/>
          <w:bCs/>
          <w:iCs/>
        </w:rPr>
        <w:t xml:space="preserve"> </w:t>
      </w:r>
      <w:r w:rsidR="00576B84" w:rsidRPr="00576B84">
        <w:rPr>
          <w:b/>
          <w:bCs/>
          <w:iCs/>
        </w:rPr>
        <w:t xml:space="preserve">στις </w:t>
      </w:r>
      <w:r w:rsidR="00182FEB">
        <w:rPr>
          <w:b/>
          <w:bCs/>
          <w:iCs/>
        </w:rPr>
        <w:t>29</w:t>
      </w:r>
      <w:r w:rsidR="00576B84" w:rsidRPr="00576B84">
        <w:rPr>
          <w:b/>
          <w:bCs/>
          <w:iCs/>
        </w:rPr>
        <w:t>/12/201</w:t>
      </w:r>
      <w:r w:rsidR="00182FEB">
        <w:rPr>
          <w:b/>
          <w:bCs/>
          <w:iCs/>
        </w:rPr>
        <w:t>7</w:t>
      </w:r>
      <w:r w:rsidR="00576B84" w:rsidRPr="00576B84">
        <w:rPr>
          <w:b/>
          <w:bCs/>
          <w:iCs/>
        </w:rPr>
        <w:t xml:space="preserve"> &amp; €</w:t>
      </w:r>
      <w:r w:rsidR="00182FEB" w:rsidRPr="00182FEB">
        <w:rPr>
          <w:b/>
          <w:bCs/>
          <w:iCs/>
        </w:rPr>
        <w:t>1.753,58</w:t>
      </w:r>
      <w:r w:rsidR="00182FEB">
        <w:rPr>
          <w:b/>
          <w:bCs/>
          <w:iCs/>
        </w:rPr>
        <w:t xml:space="preserve"> </w:t>
      </w:r>
      <w:r w:rsidR="00576B84" w:rsidRPr="00576B84">
        <w:rPr>
          <w:b/>
          <w:bCs/>
          <w:iCs/>
        </w:rPr>
        <w:t xml:space="preserve">εκατ. ή </w:t>
      </w:r>
      <w:r w:rsidR="00182FEB">
        <w:rPr>
          <w:b/>
          <w:bCs/>
          <w:iCs/>
        </w:rPr>
        <w:t>4</w:t>
      </w:r>
      <w:r w:rsidR="00576B84" w:rsidRPr="00576B84">
        <w:rPr>
          <w:b/>
          <w:bCs/>
          <w:iCs/>
        </w:rPr>
        <w:t>,</w:t>
      </w:r>
      <w:r w:rsidR="00182FEB">
        <w:rPr>
          <w:b/>
          <w:bCs/>
          <w:iCs/>
        </w:rPr>
        <w:t>5</w:t>
      </w:r>
      <w:r w:rsidR="00576B84" w:rsidRPr="00576B84">
        <w:rPr>
          <w:b/>
          <w:bCs/>
          <w:iCs/>
        </w:rPr>
        <w:t>% στις 3</w:t>
      </w:r>
      <w:r w:rsidR="00182FEB">
        <w:rPr>
          <w:b/>
          <w:bCs/>
          <w:iCs/>
        </w:rPr>
        <w:t>0</w:t>
      </w:r>
      <w:r w:rsidR="00576B84" w:rsidRPr="00576B84">
        <w:rPr>
          <w:b/>
          <w:bCs/>
          <w:iCs/>
        </w:rPr>
        <w:t>/12/201</w:t>
      </w:r>
      <w:r w:rsidR="00182FEB">
        <w:rPr>
          <w:b/>
          <w:bCs/>
          <w:iCs/>
        </w:rPr>
        <w:t>6</w:t>
      </w:r>
      <w:r w:rsidR="00576B84" w:rsidRPr="00576B84">
        <w:rPr>
          <w:b/>
          <w:bCs/>
          <w:iCs/>
        </w:rPr>
        <w:t xml:space="preserve">), η αύξηση της συνολικής κεφαλαιοποίησης ανέρχεται σε </w:t>
      </w:r>
      <w:r w:rsidR="00B8082B">
        <w:rPr>
          <w:b/>
          <w:bCs/>
          <w:iCs/>
        </w:rPr>
        <w:t>1</w:t>
      </w:r>
      <w:r w:rsidR="00576B84" w:rsidRPr="00576B84">
        <w:rPr>
          <w:b/>
          <w:bCs/>
          <w:iCs/>
        </w:rPr>
        <w:t>1,</w:t>
      </w:r>
      <w:r w:rsidR="00B8082B">
        <w:rPr>
          <w:b/>
          <w:bCs/>
          <w:iCs/>
        </w:rPr>
        <w:t>0</w:t>
      </w:r>
      <w:r w:rsidR="00576B84" w:rsidRPr="00576B84">
        <w:rPr>
          <w:b/>
          <w:bCs/>
          <w:iCs/>
        </w:rPr>
        <w:t>%. (€</w:t>
      </w:r>
      <w:r w:rsidR="00B8082B">
        <w:rPr>
          <w:b/>
          <w:bCs/>
          <w:iCs/>
        </w:rPr>
        <w:t>41</w:t>
      </w:r>
      <w:r w:rsidR="00576B84" w:rsidRPr="00576B84">
        <w:rPr>
          <w:b/>
          <w:bCs/>
          <w:iCs/>
        </w:rPr>
        <w:t>,</w:t>
      </w:r>
      <w:r w:rsidR="00B8082B">
        <w:rPr>
          <w:b/>
          <w:bCs/>
          <w:iCs/>
        </w:rPr>
        <w:t>66</w:t>
      </w:r>
      <w:r w:rsidR="00576B84" w:rsidRPr="00576B84">
        <w:rPr>
          <w:b/>
          <w:bCs/>
          <w:iCs/>
        </w:rPr>
        <w:t xml:space="preserve"> δισ. στις </w:t>
      </w:r>
      <w:r w:rsidR="00B8082B">
        <w:rPr>
          <w:b/>
          <w:bCs/>
          <w:iCs/>
        </w:rPr>
        <w:t>29</w:t>
      </w:r>
      <w:r w:rsidR="00576B84" w:rsidRPr="00576B84">
        <w:rPr>
          <w:b/>
          <w:bCs/>
          <w:iCs/>
        </w:rPr>
        <w:t>/12/201</w:t>
      </w:r>
      <w:r w:rsidR="00B8082B">
        <w:rPr>
          <w:b/>
          <w:bCs/>
          <w:iCs/>
        </w:rPr>
        <w:t>7</w:t>
      </w:r>
      <w:r w:rsidR="00576B84" w:rsidRPr="00576B84">
        <w:rPr>
          <w:b/>
          <w:bCs/>
          <w:iCs/>
        </w:rPr>
        <w:t xml:space="preserve"> έναντι €3</w:t>
      </w:r>
      <w:r w:rsidR="00B8082B">
        <w:rPr>
          <w:b/>
          <w:bCs/>
          <w:iCs/>
        </w:rPr>
        <w:t>7</w:t>
      </w:r>
      <w:r w:rsidR="00576B84" w:rsidRPr="00576B84">
        <w:rPr>
          <w:b/>
          <w:bCs/>
          <w:iCs/>
        </w:rPr>
        <w:t>,</w:t>
      </w:r>
      <w:r w:rsidR="00B8082B">
        <w:rPr>
          <w:b/>
          <w:bCs/>
          <w:iCs/>
        </w:rPr>
        <w:t>53</w:t>
      </w:r>
      <w:r w:rsidR="00576B84" w:rsidRPr="00576B84">
        <w:rPr>
          <w:b/>
          <w:bCs/>
          <w:iCs/>
        </w:rPr>
        <w:t xml:space="preserve"> δισ. στις 3</w:t>
      </w:r>
      <w:r w:rsidR="00B8082B">
        <w:rPr>
          <w:b/>
          <w:bCs/>
          <w:iCs/>
        </w:rPr>
        <w:t>0</w:t>
      </w:r>
      <w:r w:rsidR="00576B84" w:rsidRPr="00576B84">
        <w:rPr>
          <w:b/>
          <w:bCs/>
          <w:iCs/>
        </w:rPr>
        <w:t>/12/201</w:t>
      </w:r>
      <w:r w:rsidR="00B8082B">
        <w:rPr>
          <w:b/>
          <w:bCs/>
          <w:iCs/>
        </w:rPr>
        <w:t>6</w:t>
      </w:r>
      <w:r w:rsidR="00576B84" w:rsidRPr="00576B84">
        <w:rPr>
          <w:b/>
          <w:bCs/>
          <w:iCs/>
        </w:rPr>
        <w:t>).</w:t>
      </w:r>
    </w:p>
    <w:p w:rsidR="00576B84" w:rsidRPr="00576B84" w:rsidRDefault="00576B84" w:rsidP="00576B84">
      <w:pPr>
        <w:numPr>
          <w:ilvl w:val="0"/>
          <w:numId w:val="13"/>
        </w:numPr>
        <w:rPr>
          <w:b/>
          <w:bCs/>
          <w:iCs/>
        </w:rPr>
      </w:pPr>
      <w:r w:rsidRPr="00576B84">
        <w:rPr>
          <w:b/>
          <w:bCs/>
          <w:iCs/>
        </w:rPr>
        <w:t>Εισροή κεφαλαίων ύψους €</w:t>
      </w:r>
      <w:r w:rsidR="00F263AE">
        <w:rPr>
          <w:b/>
          <w:bCs/>
          <w:iCs/>
        </w:rPr>
        <w:t>286</w:t>
      </w:r>
      <w:r w:rsidRPr="00576B84">
        <w:rPr>
          <w:b/>
          <w:bCs/>
          <w:iCs/>
        </w:rPr>
        <w:t>,0</w:t>
      </w:r>
      <w:r w:rsidR="00F263AE">
        <w:rPr>
          <w:b/>
          <w:bCs/>
          <w:iCs/>
        </w:rPr>
        <w:t>3</w:t>
      </w:r>
      <w:r w:rsidRPr="00576B84">
        <w:rPr>
          <w:b/>
          <w:bCs/>
          <w:iCs/>
        </w:rPr>
        <w:t xml:space="preserve"> εκ. από τους ξένους επενδυτές για το έτος 201</w:t>
      </w:r>
      <w:r w:rsidR="00F263AE">
        <w:rPr>
          <w:b/>
          <w:bCs/>
          <w:iCs/>
        </w:rPr>
        <w:t>7</w:t>
      </w:r>
      <w:r w:rsidRPr="00576B84">
        <w:rPr>
          <w:b/>
          <w:bCs/>
          <w:iCs/>
        </w:rPr>
        <w:t xml:space="preserve"> </w:t>
      </w:r>
      <w:r w:rsidRPr="00D80DFE">
        <w:rPr>
          <w:b/>
          <w:bCs/>
          <w:iCs/>
        </w:rPr>
        <w:t>έναντι €</w:t>
      </w:r>
      <w:r w:rsidR="00F263AE" w:rsidRPr="00D80DFE">
        <w:rPr>
          <w:b/>
          <w:bCs/>
          <w:iCs/>
        </w:rPr>
        <w:t>913</w:t>
      </w:r>
      <w:r w:rsidRPr="00D80DFE">
        <w:rPr>
          <w:b/>
          <w:bCs/>
          <w:iCs/>
        </w:rPr>
        <w:t>,</w:t>
      </w:r>
      <w:r w:rsidR="00F263AE" w:rsidRPr="00D80DFE">
        <w:rPr>
          <w:b/>
          <w:bCs/>
          <w:iCs/>
        </w:rPr>
        <w:t>00</w:t>
      </w:r>
      <w:r w:rsidRPr="00D80DFE">
        <w:rPr>
          <w:b/>
          <w:bCs/>
          <w:iCs/>
        </w:rPr>
        <w:t xml:space="preserve"> εκ. το 201</w:t>
      </w:r>
      <w:r w:rsidR="00F263AE" w:rsidRPr="00D80DFE">
        <w:rPr>
          <w:b/>
          <w:bCs/>
          <w:iCs/>
        </w:rPr>
        <w:t>6</w:t>
      </w:r>
      <w:r w:rsidRPr="00D80DFE">
        <w:rPr>
          <w:b/>
          <w:bCs/>
          <w:iCs/>
        </w:rPr>
        <w:t xml:space="preserve">, σημειώνοντας </w:t>
      </w:r>
      <w:r w:rsidR="00F263AE" w:rsidRPr="00D80DFE">
        <w:rPr>
          <w:b/>
          <w:bCs/>
          <w:iCs/>
        </w:rPr>
        <w:t>μείωση</w:t>
      </w:r>
      <w:r w:rsidRPr="00D80DFE">
        <w:rPr>
          <w:b/>
          <w:bCs/>
          <w:iCs/>
        </w:rPr>
        <w:t xml:space="preserve"> της τάξεως του </w:t>
      </w:r>
      <w:r w:rsidR="00F263AE" w:rsidRPr="00D80DFE">
        <w:rPr>
          <w:b/>
          <w:bCs/>
          <w:iCs/>
        </w:rPr>
        <w:t>68</w:t>
      </w:r>
      <w:r w:rsidRPr="00D80DFE">
        <w:rPr>
          <w:b/>
          <w:bCs/>
          <w:iCs/>
        </w:rPr>
        <w:t>,</w:t>
      </w:r>
      <w:r w:rsidR="00F263AE" w:rsidRPr="00D80DFE">
        <w:rPr>
          <w:b/>
          <w:bCs/>
          <w:iCs/>
        </w:rPr>
        <w:t>7</w:t>
      </w:r>
      <w:r w:rsidRPr="00D80DFE">
        <w:rPr>
          <w:b/>
          <w:bCs/>
          <w:iCs/>
        </w:rPr>
        <w:t>%.</w:t>
      </w:r>
    </w:p>
    <w:p w:rsidR="00576B84" w:rsidRPr="00576B84" w:rsidRDefault="00576B84" w:rsidP="00576B84">
      <w:pPr>
        <w:numPr>
          <w:ilvl w:val="0"/>
          <w:numId w:val="13"/>
        </w:numPr>
        <w:rPr>
          <w:b/>
          <w:bCs/>
          <w:iCs/>
        </w:rPr>
      </w:pPr>
      <w:r w:rsidRPr="00576B84">
        <w:rPr>
          <w:b/>
          <w:bCs/>
          <w:iCs/>
        </w:rPr>
        <w:t xml:space="preserve">Αύξηση της τάξεως του </w:t>
      </w:r>
      <w:r w:rsidR="0083204E">
        <w:rPr>
          <w:b/>
          <w:bCs/>
          <w:iCs/>
        </w:rPr>
        <w:t>3</w:t>
      </w:r>
      <w:r w:rsidRPr="00576B84">
        <w:rPr>
          <w:b/>
          <w:bCs/>
          <w:iCs/>
        </w:rPr>
        <w:t>,</w:t>
      </w:r>
      <w:r w:rsidR="0083204E">
        <w:rPr>
          <w:b/>
          <w:bCs/>
          <w:iCs/>
        </w:rPr>
        <w:t>4</w:t>
      </w:r>
      <w:r w:rsidRPr="00576B84">
        <w:rPr>
          <w:b/>
          <w:bCs/>
          <w:iCs/>
        </w:rPr>
        <w:t>% της συμμετοχής των ξένων επενδυτών στη συνολική κεφαλαιοποίηση της Ελληνικής αγοράς. Το ποσοστό συμμετοχής διαμορφώθηκε στο 6</w:t>
      </w:r>
      <w:r w:rsidR="0083204E">
        <w:rPr>
          <w:b/>
          <w:bCs/>
          <w:iCs/>
        </w:rPr>
        <w:t>3</w:t>
      </w:r>
      <w:r w:rsidRPr="00576B84">
        <w:rPr>
          <w:b/>
          <w:bCs/>
          <w:iCs/>
        </w:rPr>
        <w:t>,</w:t>
      </w:r>
      <w:r w:rsidR="0083204E">
        <w:rPr>
          <w:b/>
          <w:bCs/>
          <w:iCs/>
        </w:rPr>
        <w:t>5</w:t>
      </w:r>
      <w:r w:rsidRPr="00576B84">
        <w:rPr>
          <w:b/>
          <w:bCs/>
          <w:iCs/>
        </w:rPr>
        <w:t xml:space="preserve">% στις </w:t>
      </w:r>
      <w:r w:rsidR="0083204E">
        <w:rPr>
          <w:b/>
          <w:bCs/>
          <w:iCs/>
        </w:rPr>
        <w:t>29</w:t>
      </w:r>
      <w:r w:rsidRPr="00576B84">
        <w:rPr>
          <w:b/>
          <w:bCs/>
          <w:iCs/>
        </w:rPr>
        <w:t>/12/201</w:t>
      </w:r>
      <w:r w:rsidR="0083204E">
        <w:rPr>
          <w:b/>
          <w:bCs/>
          <w:iCs/>
        </w:rPr>
        <w:t>7</w:t>
      </w:r>
      <w:r w:rsidRPr="00576B84">
        <w:rPr>
          <w:b/>
          <w:bCs/>
          <w:iCs/>
        </w:rPr>
        <w:t xml:space="preserve"> από </w:t>
      </w:r>
      <w:r w:rsidR="0083204E" w:rsidRPr="00576B84">
        <w:rPr>
          <w:b/>
          <w:bCs/>
          <w:iCs/>
        </w:rPr>
        <w:t xml:space="preserve">61,4% στις 30/12/2016 </w:t>
      </w:r>
      <w:r w:rsidRPr="00576B84">
        <w:rPr>
          <w:b/>
          <w:bCs/>
          <w:iCs/>
        </w:rPr>
        <w:t>- συνυπολογίζοντας την συμμετοχή του ΤΧΣ. Χωρίς την συμμετοχή του ΤΧΣ, το ποσοστό συμμετοχής των ξένων επενδυτών διαμορφώθηκε στο 6</w:t>
      </w:r>
      <w:r w:rsidR="0083204E">
        <w:rPr>
          <w:b/>
          <w:bCs/>
          <w:iCs/>
        </w:rPr>
        <w:t>6</w:t>
      </w:r>
      <w:r w:rsidRPr="00576B84">
        <w:rPr>
          <w:b/>
          <w:bCs/>
          <w:iCs/>
        </w:rPr>
        <w:t>,</w:t>
      </w:r>
      <w:r w:rsidR="0083204E">
        <w:rPr>
          <w:b/>
          <w:bCs/>
          <w:iCs/>
        </w:rPr>
        <w:t>4</w:t>
      </w:r>
      <w:r w:rsidRPr="00576B84">
        <w:rPr>
          <w:b/>
          <w:bCs/>
          <w:iCs/>
        </w:rPr>
        <w:t xml:space="preserve">% στις </w:t>
      </w:r>
      <w:r w:rsidR="0083204E">
        <w:rPr>
          <w:b/>
          <w:bCs/>
          <w:iCs/>
        </w:rPr>
        <w:t>29</w:t>
      </w:r>
      <w:r w:rsidRPr="00576B84">
        <w:rPr>
          <w:b/>
          <w:bCs/>
          <w:iCs/>
        </w:rPr>
        <w:t>/12/201</w:t>
      </w:r>
      <w:r w:rsidR="0083204E">
        <w:rPr>
          <w:b/>
          <w:bCs/>
          <w:iCs/>
        </w:rPr>
        <w:t>7</w:t>
      </w:r>
      <w:r w:rsidRPr="00576B84">
        <w:rPr>
          <w:b/>
          <w:bCs/>
          <w:iCs/>
        </w:rPr>
        <w:t xml:space="preserve"> από 64,</w:t>
      </w:r>
      <w:r w:rsidR="0083204E">
        <w:rPr>
          <w:b/>
          <w:bCs/>
          <w:iCs/>
        </w:rPr>
        <w:t>3</w:t>
      </w:r>
      <w:r w:rsidRPr="00576B84">
        <w:rPr>
          <w:b/>
          <w:bCs/>
          <w:iCs/>
        </w:rPr>
        <w:t>% στις 3</w:t>
      </w:r>
      <w:r w:rsidR="0083204E">
        <w:rPr>
          <w:b/>
          <w:bCs/>
          <w:iCs/>
        </w:rPr>
        <w:t>0</w:t>
      </w:r>
      <w:r w:rsidRPr="00576B84">
        <w:rPr>
          <w:b/>
          <w:bCs/>
          <w:iCs/>
        </w:rPr>
        <w:t>/12/201</w:t>
      </w:r>
      <w:r w:rsidR="0083204E">
        <w:rPr>
          <w:b/>
          <w:bCs/>
          <w:iCs/>
        </w:rPr>
        <w:t>6</w:t>
      </w:r>
      <w:r w:rsidRPr="00576B84">
        <w:rPr>
          <w:b/>
          <w:bCs/>
          <w:iCs/>
        </w:rPr>
        <w:t xml:space="preserve"> σημειώνοντας αύξηση της τάξεως του </w:t>
      </w:r>
      <w:r w:rsidR="0083204E">
        <w:rPr>
          <w:b/>
          <w:bCs/>
          <w:iCs/>
        </w:rPr>
        <w:t>3</w:t>
      </w:r>
      <w:r w:rsidRPr="00576B84">
        <w:rPr>
          <w:b/>
          <w:bCs/>
          <w:iCs/>
        </w:rPr>
        <w:t>,</w:t>
      </w:r>
      <w:r w:rsidR="0083204E">
        <w:rPr>
          <w:b/>
          <w:bCs/>
          <w:iCs/>
        </w:rPr>
        <w:t>3</w:t>
      </w:r>
      <w:r w:rsidRPr="00576B84">
        <w:rPr>
          <w:b/>
          <w:bCs/>
          <w:iCs/>
        </w:rPr>
        <w:t>%.</w:t>
      </w:r>
    </w:p>
    <w:p w:rsidR="00576B84" w:rsidRPr="00576B84" w:rsidRDefault="00576B84" w:rsidP="00576B84">
      <w:pPr>
        <w:numPr>
          <w:ilvl w:val="0"/>
          <w:numId w:val="13"/>
        </w:numPr>
        <w:rPr>
          <w:b/>
          <w:bCs/>
          <w:iCs/>
        </w:rPr>
      </w:pPr>
      <w:r w:rsidRPr="00576B84">
        <w:rPr>
          <w:b/>
          <w:bCs/>
          <w:iCs/>
        </w:rPr>
        <w:t>Συνολική Αξία Συναλλαγών €1</w:t>
      </w:r>
      <w:r w:rsidR="00790C97">
        <w:rPr>
          <w:b/>
          <w:bCs/>
          <w:iCs/>
        </w:rPr>
        <w:t>4</w:t>
      </w:r>
      <w:r w:rsidRPr="00576B84">
        <w:rPr>
          <w:b/>
          <w:bCs/>
          <w:iCs/>
        </w:rPr>
        <w:t>,</w:t>
      </w:r>
      <w:r w:rsidR="00790C97">
        <w:rPr>
          <w:b/>
          <w:bCs/>
          <w:iCs/>
        </w:rPr>
        <w:t>76</w:t>
      </w:r>
      <w:r w:rsidRPr="00576B84">
        <w:rPr>
          <w:b/>
          <w:bCs/>
          <w:iCs/>
        </w:rPr>
        <w:t xml:space="preserve"> δισ. έναντι </w:t>
      </w:r>
      <w:r w:rsidR="00790C97" w:rsidRPr="00576B84">
        <w:rPr>
          <w:b/>
          <w:bCs/>
          <w:iCs/>
        </w:rPr>
        <w:t xml:space="preserve">€15,06 </w:t>
      </w:r>
      <w:r w:rsidRPr="00576B84">
        <w:rPr>
          <w:b/>
          <w:bCs/>
          <w:iCs/>
        </w:rPr>
        <w:t>δισ. το 201</w:t>
      </w:r>
      <w:r w:rsidR="00790C97">
        <w:rPr>
          <w:b/>
          <w:bCs/>
          <w:iCs/>
        </w:rPr>
        <w:t>6</w:t>
      </w:r>
      <w:r w:rsidRPr="00576B84">
        <w:rPr>
          <w:b/>
          <w:bCs/>
          <w:iCs/>
        </w:rPr>
        <w:t xml:space="preserve">, παρουσιάζοντας μείωση της τάξεως του </w:t>
      </w:r>
      <w:r w:rsidR="00790C97">
        <w:rPr>
          <w:b/>
          <w:bCs/>
          <w:iCs/>
        </w:rPr>
        <w:t>1</w:t>
      </w:r>
      <w:r w:rsidRPr="00576B84">
        <w:rPr>
          <w:b/>
          <w:bCs/>
          <w:iCs/>
        </w:rPr>
        <w:t>,</w:t>
      </w:r>
      <w:r w:rsidR="00790C97">
        <w:rPr>
          <w:b/>
          <w:bCs/>
          <w:iCs/>
        </w:rPr>
        <w:t>9</w:t>
      </w:r>
      <w:r w:rsidRPr="00576B84">
        <w:rPr>
          <w:b/>
          <w:bCs/>
          <w:iCs/>
        </w:rPr>
        <w:t>%.</w:t>
      </w:r>
      <w:r w:rsidR="00D92436" w:rsidRPr="00D92436">
        <w:rPr>
          <w:b/>
          <w:bCs/>
          <w:iCs/>
        </w:rPr>
        <w:t xml:space="preserve"> </w:t>
      </w:r>
    </w:p>
    <w:p w:rsidR="00576B84" w:rsidRPr="00576B84" w:rsidRDefault="00576B84" w:rsidP="00576B84">
      <w:pPr>
        <w:numPr>
          <w:ilvl w:val="0"/>
          <w:numId w:val="13"/>
        </w:numPr>
        <w:rPr>
          <w:b/>
          <w:bCs/>
          <w:iCs/>
        </w:rPr>
      </w:pPr>
      <w:r w:rsidRPr="00576B84">
        <w:rPr>
          <w:b/>
          <w:bCs/>
          <w:iCs/>
        </w:rPr>
        <w:t>Μέση Ημερήσια Αξία Συναλλαγών στα €</w:t>
      </w:r>
      <w:r w:rsidR="007D1E0F">
        <w:rPr>
          <w:b/>
          <w:bCs/>
          <w:iCs/>
        </w:rPr>
        <w:t>58</w:t>
      </w:r>
      <w:r w:rsidRPr="00576B84">
        <w:rPr>
          <w:b/>
          <w:bCs/>
          <w:iCs/>
        </w:rPr>
        <w:t>,</w:t>
      </w:r>
      <w:r w:rsidR="007D1E0F">
        <w:rPr>
          <w:b/>
          <w:bCs/>
          <w:iCs/>
        </w:rPr>
        <w:t>81</w:t>
      </w:r>
      <w:r w:rsidRPr="00576B84">
        <w:rPr>
          <w:b/>
          <w:bCs/>
          <w:iCs/>
        </w:rPr>
        <w:t xml:space="preserve"> εκ. έναντι </w:t>
      </w:r>
      <w:r w:rsidR="007D1E0F" w:rsidRPr="00576B84">
        <w:rPr>
          <w:b/>
          <w:bCs/>
          <w:iCs/>
        </w:rPr>
        <w:t xml:space="preserve">€60,46 </w:t>
      </w:r>
      <w:r w:rsidRPr="00576B84">
        <w:rPr>
          <w:b/>
          <w:bCs/>
          <w:iCs/>
        </w:rPr>
        <w:t>εκ. το 201</w:t>
      </w:r>
      <w:r w:rsidR="007D1E0F">
        <w:rPr>
          <w:b/>
          <w:bCs/>
          <w:iCs/>
        </w:rPr>
        <w:t>6</w:t>
      </w:r>
      <w:r w:rsidRPr="00576B84">
        <w:rPr>
          <w:b/>
          <w:bCs/>
          <w:iCs/>
        </w:rPr>
        <w:t>, παρουσιάζοντας μείωση της τάξεως του 2,</w:t>
      </w:r>
      <w:r w:rsidR="007D1E0F">
        <w:rPr>
          <w:b/>
          <w:bCs/>
          <w:iCs/>
        </w:rPr>
        <w:t>7</w:t>
      </w:r>
      <w:r w:rsidRPr="00576B84">
        <w:rPr>
          <w:b/>
          <w:bCs/>
          <w:iCs/>
        </w:rPr>
        <w:t>%.</w:t>
      </w:r>
    </w:p>
    <w:p w:rsidR="00576B84" w:rsidRPr="00576B84" w:rsidRDefault="00576B84" w:rsidP="00576B84">
      <w:pPr>
        <w:numPr>
          <w:ilvl w:val="0"/>
          <w:numId w:val="13"/>
        </w:numPr>
        <w:rPr>
          <w:b/>
          <w:bCs/>
          <w:iCs/>
        </w:rPr>
      </w:pPr>
      <w:r w:rsidRPr="00576B84">
        <w:rPr>
          <w:b/>
          <w:bCs/>
          <w:iCs/>
        </w:rPr>
        <w:t xml:space="preserve">Μείωση της τάξεως του </w:t>
      </w:r>
      <w:r w:rsidR="00013464">
        <w:rPr>
          <w:b/>
          <w:bCs/>
          <w:iCs/>
        </w:rPr>
        <w:t>23</w:t>
      </w:r>
      <w:r w:rsidRPr="00576B84">
        <w:rPr>
          <w:b/>
          <w:bCs/>
          <w:iCs/>
        </w:rPr>
        <w:t>,</w:t>
      </w:r>
      <w:r w:rsidR="00013464">
        <w:rPr>
          <w:b/>
          <w:bCs/>
          <w:iCs/>
        </w:rPr>
        <w:t>9</w:t>
      </w:r>
      <w:r w:rsidRPr="00576B84">
        <w:rPr>
          <w:b/>
          <w:bCs/>
          <w:iCs/>
        </w:rPr>
        <w:t>% του συνολικού αριθμού των αξιών που μεταβιβάστηκαν λόγω διακανονισμού χρηματιστηριακών συναλλαγών το 201</w:t>
      </w:r>
      <w:r w:rsidR="00520AD1">
        <w:rPr>
          <w:b/>
          <w:bCs/>
          <w:iCs/>
        </w:rPr>
        <w:t>7</w:t>
      </w:r>
      <w:r w:rsidRPr="00576B84">
        <w:rPr>
          <w:b/>
          <w:bCs/>
          <w:iCs/>
        </w:rPr>
        <w:t xml:space="preserve"> (</w:t>
      </w:r>
      <w:r w:rsidR="00520AD1">
        <w:rPr>
          <w:b/>
          <w:bCs/>
          <w:iCs/>
        </w:rPr>
        <w:t>18</w:t>
      </w:r>
      <w:r w:rsidRPr="00576B84">
        <w:rPr>
          <w:b/>
          <w:bCs/>
          <w:iCs/>
        </w:rPr>
        <w:t>.</w:t>
      </w:r>
      <w:r w:rsidR="00520AD1">
        <w:rPr>
          <w:b/>
          <w:bCs/>
          <w:iCs/>
        </w:rPr>
        <w:t>244</w:t>
      </w:r>
      <w:r w:rsidRPr="00576B84">
        <w:rPr>
          <w:b/>
          <w:bCs/>
          <w:iCs/>
        </w:rPr>
        <w:t>.</w:t>
      </w:r>
      <w:r w:rsidR="00520AD1">
        <w:rPr>
          <w:b/>
          <w:bCs/>
          <w:iCs/>
        </w:rPr>
        <w:t>883</w:t>
      </w:r>
      <w:r w:rsidRPr="00576B84">
        <w:rPr>
          <w:b/>
          <w:bCs/>
          <w:iCs/>
        </w:rPr>
        <w:t>.</w:t>
      </w:r>
      <w:r w:rsidR="00520AD1">
        <w:rPr>
          <w:b/>
          <w:bCs/>
          <w:iCs/>
        </w:rPr>
        <w:t>119</w:t>
      </w:r>
      <w:r w:rsidRPr="00576B84">
        <w:rPr>
          <w:b/>
          <w:bCs/>
          <w:iCs/>
        </w:rPr>
        <w:t xml:space="preserve"> τεμάχια) συγκριτικά με τον συνολικό αριθμό που μεταβιβάστηκαν το 201</w:t>
      </w:r>
      <w:r w:rsidR="00520AD1">
        <w:rPr>
          <w:b/>
          <w:bCs/>
          <w:iCs/>
        </w:rPr>
        <w:t>6</w:t>
      </w:r>
      <w:r w:rsidRPr="00576B84">
        <w:rPr>
          <w:b/>
          <w:bCs/>
          <w:iCs/>
        </w:rPr>
        <w:t xml:space="preserve"> (</w:t>
      </w:r>
      <w:r w:rsidR="00520AD1" w:rsidRPr="00576B84">
        <w:rPr>
          <w:b/>
          <w:bCs/>
          <w:iCs/>
        </w:rPr>
        <w:t xml:space="preserve">23.991.937.924 </w:t>
      </w:r>
      <w:r w:rsidRPr="00576B84">
        <w:rPr>
          <w:b/>
          <w:bCs/>
          <w:iCs/>
        </w:rPr>
        <w:t>τεμάχια).</w:t>
      </w:r>
    </w:p>
    <w:p w:rsidR="00576B84" w:rsidRPr="00576B84" w:rsidRDefault="00576B84" w:rsidP="00576B84">
      <w:pPr>
        <w:numPr>
          <w:ilvl w:val="0"/>
          <w:numId w:val="13"/>
        </w:numPr>
        <w:rPr>
          <w:b/>
          <w:bCs/>
          <w:iCs/>
        </w:rPr>
      </w:pPr>
      <w:r w:rsidRPr="00576B84">
        <w:rPr>
          <w:b/>
          <w:bCs/>
          <w:iCs/>
        </w:rPr>
        <w:t>Μέσος Ημερήσιος Αριθμός των αξιών που μεταβιβάστηκαν λόγω διακανονισμού χρηματιστηριακών συναλλαγών το 201</w:t>
      </w:r>
      <w:r w:rsidR="006D48C2" w:rsidRPr="006D48C2">
        <w:rPr>
          <w:b/>
          <w:bCs/>
          <w:iCs/>
        </w:rPr>
        <w:t>7</w:t>
      </w:r>
      <w:r w:rsidRPr="00576B84">
        <w:rPr>
          <w:b/>
          <w:bCs/>
          <w:iCs/>
        </w:rPr>
        <w:t xml:space="preserve"> στα </w:t>
      </w:r>
      <w:r w:rsidR="005D3B83">
        <w:rPr>
          <w:b/>
          <w:bCs/>
          <w:iCs/>
        </w:rPr>
        <w:t>72</w:t>
      </w:r>
      <w:r w:rsidRPr="00576B84">
        <w:rPr>
          <w:b/>
          <w:bCs/>
          <w:iCs/>
        </w:rPr>
        <w:t>.</w:t>
      </w:r>
      <w:r w:rsidR="005D3B83">
        <w:rPr>
          <w:b/>
          <w:bCs/>
          <w:iCs/>
        </w:rPr>
        <w:t>688</w:t>
      </w:r>
      <w:r w:rsidRPr="00576B84">
        <w:rPr>
          <w:b/>
          <w:bCs/>
          <w:iCs/>
        </w:rPr>
        <w:t>.</w:t>
      </w:r>
      <w:r w:rsidR="005D3B83">
        <w:rPr>
          <w:b/>
          <w:bCs/>
          <w:iCs/>
        </w:rPr>
        <w:t>777</w:t>
      </w:r>
      <w:r w:rsidRPr="00576B84">
        <w:rPr>
          <w:b/>
          <w:bCs/>
          <w:iCs/>
        </w:rPr>
        <w:t xml:space="preserve"> τεμάχια έναντι </w:t>
      </w:r>
      <w:r w:rsidR="005D3B83" w:rsidRPr="00576B84">
        <w:rPr>
          <w:b/>
          <w:bCs/>
          <w:iCs/>
        </w:rPr>
        <w:t xml:space="preserve">96.353.164 </w:t>
      </w:r>
      <w:r w:rsidRPr="00576B84">
        <w:rPr>
          <w:b/>
          <w:bCs/>
          <w:iCs/>
        </w:rPr>
        <w:t>τεμαχίων το 201</w:t>
      </w:r>
      <w:r w:rsidR="005D3B83">
        <w:rPr>
          <w:b/>
          <w:bCs/>
          <w:iCs/>
        </w:rPr>
        <w:t>6</w:t>
      </w:r>
      <w:r w:rsidRPr="00576B84">
        <w:rPr>
          <w:b/>
          <w:bCs/>
          <w:iCs/>
        </w:rPr>
        <w:t xml:space="preserve">, παρουσιάζοντας μείωση της τάξεως του </w:t>
      </w:r>
      <w:r w:rsidR="005D3B83">
        <w:rPr>
          <w:b/>
          <w:bCs/>
          <w:iCs/>
        </w:rPr>
        <w:t>24</w:t>
      </w:r>
      <w:r w:rsidRPr="00576B84">
        <w:rPr>
          <w:b/>
          <w:bCs/>
          <w:iCs/>
        </w:rPr>
        <w:t>,</w:t>
      </w:r>
      <w:r w:rsidR="005D3B83">
        <w:rPr>
          <w:b/>
          <w:bCs/>
          <w:iCs/>
        </w:rPr>
        <w:t>6</w:t>
      </w:r>
      <w:r w:rsidRPr="00576B84">
        <w:rPr>
          <w:b/>
          <w:bCs/>
          <w:iCs/>
        </w:rPr>
        <w:t xml:space="preserve">%. </w:t>
      </w:r>
    </w:p>
    <w:p w:rsidR="00576B84" w:rsidRPr="00576B84" w:rsidRDefault="00576B84" w:rsidP="00576B84">
      <w:pPr>
        <w:numPr>
          <w:ilvl w:val="0"/>
          <w:numId w:val="13"/>
        </w:numPr>
        <w:rPr>
          <w:b/>
          <w:bCs/>
          <w:iCs/>
        </w:rPr>
      </w:pPr>
      <w:r w:rsidRPr="00D80DFE">
        <w:rPr>
          <w:b/>
          <w:bCs/>
          <w:iCs/>
        </w:rPr>
        <w:t>Μεγάλο ενδιαφέρον σημειώθηκε στα Εταιρικά Ομόλογα της Οργανωμένης &amp; Εναλλακτικής Αγοράς, αποτέλεσμα της δραστηριοποίησης που υπήρξε στη κατηγορία αυτή, κυρίως με την εισαγωγή νέων τίτλων σταθερού εισοδήματος.</w:t>
      </w:r>
      <w:r w:rsidRPr="00576B84">
        <w:rPr>
          <w:b/>
          <w:bCs/>
          <w:iCs/>
        </w:rPr>
        <w:t xml:space="preserve"> Η συναλλακτική δραστηριότητα, συγκριτικά με το 201</w:t>
      </w:r>
      <w:r w:rsidR="000B38DC">
        <w:rPr>
          <w:b/>
          <w:bCs/>
          <w:iCs/>
        </w:rPr>
        <w:t>6</w:t>
      </w:r>
      <w:r w:rsidRPr="00576B84">
        <w:rPr>
          <w:b/>
          <w:bCs/>
          <w:iCs/>
        </w:rPr>
        <w:t>, παρουσίασε ιδιαίτερα σημαντική αύξηση, με συνολική αξία διακανονισμένων συναλλαγών €</w:t>
      </w:r>
      <w:r w:rsidR="000B38DC">
        <w:rPr>
          <w:b/>
          <w:bCs/>
          <w:iCs/>
        </w:rPr>
        <w:t>138</w:t>
      </w:r>
      <w:r w:rsidRPr="00576B84">
        <w:rPr>
          <w:b/>
          <w:bCs/>
          <w:iCs/>
        </w:rPr>
        <w:t>,</w:t>
      </w:r>
      <w:r w:rsidR="000B38DC">
        <w:rPr>
          <w:b/>
          <w:bCs/>
          <w:iCs/>
        </w:rPr>
        <w:t>41</w:t>
      </w:r>
      <w:r w:rsidRPr="00576B84">
        <w:rPr>
          <w:b/>
          <w:bCs/>
          <w:iCs/>
        </w:rPr>
        <w:t xml:space="preserve"> εκ. και συνολικό αριθμό αξιών </w:t>
      </w:r>
      <w:r w:rsidRPr="00576B84">
        <w:rPr>
          <w:b/>
          <w:bCs/>
          <w:iCs/>
        </w:rPr>
        <w:lastRenderedPageBreak/>
        <w:t xml:space="preserve">που μεταβιβάστηκαν </w:t>
      </w:r>
      <w:r w:rsidR="000B38DC">
        <w:rPr>
          <w:b/>
          <w:bCs/>
          <w:iCs/>
        </w:rPr>
        <w:t>1</w:t>
      </w:r>
      <w:r w:rsidRPr="00576B84">
        <w:rPr>
          <w:b/>
          <w:bCs/>
          <w:iCs/>
        </w:rPr>
        <w:t>4.</w:t>
      </w:r>
      <w:r w:rsidR="000B38DC">
        <w:rPr>
          <w:b/>
          <w:bCs/>
          <w:iCs/>
        </w:rPr>
        <w:t>929</w:t>
      </w:r>
      <w:r w:rsidRPr="00576B84">
        <w:rPr>
          <w:b/>
          <w:bCs/>
          <w:iCs/>
        </w:rPr>
        <w:t>.</w:t>
      </w:r>
      <w:r w:rsidR="000B38DC">
        <w:rPr>
          <w:b/>
          <w:bCs/>
          <w:iCs/>
        </w:rPr>
        <w:t>668</w:t>
      </w:r>
      <w:r w:rsidRPr="00576B84">
        <w:rPr>
          <w:b/>
          <w:bCs/>
          <w:iCs/>
        </w:rPr>
        <w:t xml:space="preserve"> τεμάχια. Αντίστοιχα η Μέση Ημερήσια Αξία Συναλλαγών ανήλθε στα €</w:t>
      </w:r>
      <w:r w:rsidR="000B38DC">
        <w:rPr>
          <w:b/>
          <w:bCs/>
          <w:iCs/>
        </w:rPr>
        <w:t>551</w:t>
      </w:r>
      <w:r w:rsidRPr="00576B84">
        <w:rPr>
          <w:b/>
          <w:bCs/>
          <w:iCs/>
        </w:rPr>
        <w:t>.</w:t>
      </w:r>
      <w:r w:rsidR="000B38DC">
        <w:rPr>
          <w:b/>
          <w:bCs/>
          <w:iCs/>
        </w:rPr>
        <w:t>425</w:t>
      </w:r>
      <w:r w:rsidRPr="00576B84">
        <w:rPr>
          <w:b/>
          <w:bCs/>
          <w:iCs/>
        </w:rPr>
        <w:t>,</w:t>
      </w:r>
      <w:r w:rsidR="000B38DC">
        <w:rPr>
          <w:b/>
          <w:bCs/>
          <w:iCs/>
        </w:rPr>
        <w:t>81</w:t>
      </w:r>
      <w:r w:rsidRPr="00576B84">
        <w:rPr>
          <w:b/>
          <w:bCs/>
          <w:iCs/>
        </w:rPr>
        <w:t xml:space="preserve"> και ο Μέσος Αριθμός Αξιών που μεταβιβάστηκαν ανήλθε στα </w:t>
      </w:r>
      <w:r w:rsidR="000B38DC">
        <w:rPr>
          <w:b/>
          <w:bCs/>
          <w:iCs/>
        </w:rPr>
        <w:t>59</w:t>
      </w:r>
      <w:r w:rsidRPr="00576B84">
        <w:rPr>
          <w:b/>
          <w:bCs/>
          <w:iCs/>
        </w:rPr>
        <w:t>.</w:t>
      </w:r>
      <w:r w:rsidR="000B38DC">
        <w:rPr>
          <w:b/>
          <w:bCs/>
          <w:iCs/>
        </w:rPr>
        <w:t>481</w:t>
      </w:r>
      <w:r w:rsidRPr="00576B84">
        <w:rPr>
          <w:b/>
          <w:bCs/>
          <w:iCs/>
        </w:rPr>
        <w:t xml:space="preserve"> τεμάχια. </w:t>
      </w:r>
    </w:p>
    <w:p w:rsidR="00576B84" w:rsidRPr="00576B84" w:rsidRDefault="005D3B83" w:rsidP="00576B84">
      <w:pPr>
        <w:numPr>
          <w:ilvl w:val="0"/>
          <w:numId w:val="13"/>
        </w:numPr>
        <w:rPr>
          <w:b/>
          <w:bCs/>
          <w:iCs/>
        </w:rPr>
      </w:pPr>
      <w:r>
        <w:rPr>
          <w:b/>
          <w:bCs/>
          <w:iCs/>
        </w:rPr>
        <w:t>Σημαντική α</w:t>
      </w:r>
      <w:r w:rsidR="00576B84" w:rsidRPr="00576B84">
        <w:rPr>
          <w:b/>
          <w:bCs/>
          <w:iCs/>
        </w:rPr>
        <w:t xml:space="preserve">ύξηση στην τιμή του Γενικού Δείκτη κατά </w:t>
      </w:r>
      <w:r>
        <w:rPr>
          <w:b/>
          <w:bCs/>
          <w:iCs/>
        </w:rPr>
        <w:t>24</w:t>
      </w:r>
      <w:r w:rsidR="00576B84" w:rsidRPr="00576B84">
        <w:rPr>
          <w:b/>
          <w:bCs/>
          <w:iCs/>
        </w:rPr>
        <w:t>,</w:t>
      </w:r>
      <w:r>
        <w:rPr>
          <w:b/>
          <w:bCs/>
          <w:iCs/>
        </w:rPr>
        <w:t>7</w:t>
      </w:r>
      <w:r w:rsidR="00576B84" w:rsidRPr="00576B84">
        <w:rPr>
          <w:b/>
          <w:bCs/>
          <w:iCs/>
        </w:rPr>
        <w:t>% από το τέλος του προηγούμενου έτους.</w:t>
      </w:r>
    </w:p>
    <w:p w:rsidR="0072053C" w:rsidRPr="00AC612F" w:rsidRDefault="002D0B28" w:rsidP="00E050A6">
      <w:r w:rsidRPr="002D0B28">
        <w:t xml:space="preserve">Η Αξία Συναλλαγών του </w:t>
      </w:r>
      <w:r w:rsidR="0001729E">
        <w:t>Δεκεμβρίου 2017</w:t>
      </w:r>
      <w:r w:rsidR="00B8420B" w:rsidRPr="00B8420B">
        <w:t xml:space="preserve"> </w:t>
      </w:r>
      <w:r w:rsidRPr="002D0B28">
        <w:t xml:space="preserve">έφτασε τα </w:t>
      </w:r>
      <w:r w:rsidRPr="00140E03">
        <w:rPr>
          <w:b/>
        </w:rPr>
        <w:t>€</w:t>
      </w:r>
      <w:r w:rsidR="0001729E" w:rsidRPr="0001729E">
        <w:rPr>
          <w:b/>
        </w:rPr>
        <w:t>1.352,23</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01729E" w:rsidRPr="0001729E">
        <w:rPr>
          <w:b/>
        </w:rPr>
        <w:t>άνοδο</w:t>
      </w:r>
      <w:r w:rsidR="00D22DA8" w:rsidRPr="00D22DA8">
        <w:t xml:space="preserve"> </w:t>
      </w:r>
      <w:r w:rsidRPr="00F03EFC">
        <w:rPr>
          <w:b/>
        </w:rPr>
        <w:t xml:space="preserve">κατά </w:t>
      </w:r>
      <w:r w:rsidR="0001729E" w:rsidRPr="0001729E">
        <w:rPr>
          <w:b/>
        </w:rPr>
        <w:t>21,1%</w:t>
      </w:r>
      <w:r w:rsidR="001C6047" w:rsidRPr="001C6047">
        <w:rPr>
          <w:b/>
        </w:rPr>
        <w:t xml:space="preserve"> </w:t>
      </w:r>
      <w:r w:rsidRPr="002D0B28">
        <w:t>από τη συναλλακτική δραστηριότητα του προηγούμενου μήνα που ήταν €</w:t>
      </w:r>
      <w:r w:rsidR="0001729E" w:rsidRPr="0001729E">
        <w:t>1.116,70</w:t>
      </w:r>
      <w:r w:rsidRPr="002D0B28">
        <w:t xml:space="preserve"> εκατ. Σε σχέση με τον </w:t>
      </w:r>
      <w:r w:rsidR="0001729E" w:rsidRPr="0001729E">
        <w:t>Δεκέμβριο του 2016</w:t>
      </w:r>
      <w:r w:rsidR="00421DB2" w:rsidRPr="00421DB2">
        <w:t xml:space="preserve"> </w:t>
      </w:r>
      <w:r w:rsidRPr="002D0B28">
        <w:t>που η αξία συναλλαγών ήταν €</w:t>
      </w:r>
      <w:r w:rsidR="0001729E" w:rsidRPr="0001729E">
        <w:t>1.205,25</w:t>
      </w:r>
      <w:r w:rsidR="00AC612F" w:rsidRPr="00AC612F">
        <w:t xml:space="preserve"> </w:t>
      </w:r>
      <w:r w:rsidRPr="002D0B28">
        <w:t xml:space="preserve">εκατ., σημειώθηκε </w:t>
      </w:r>
      <w:r w:rsidR="0001729E" w:rsidRPr="0001729E">
        <w:t>άνοδο</w:t>
      </w:r>
      <w:r w:rsidR="00F124F7">
        <w:t>ς</w:t>
      </w:r>
      <w:r w:rsidR="00AC612F" w:rsidRPr="00AC612F">
        <w:t xml:space="preserve"> </w:t>
      </w:r>
      <w:r w:rsidRPr="002D0B28">
        <w:t xml:space="preserve">της τάξης του </w:t>
      </w:r>
      <w:r w:rsidR="0001729E" w:rsidRPr="0001729E">
        <w:t>12,2%</w:t>
      </w:r>
      <w:r w:rsidR="00AC612F" w:rsidRPr="00AC612F">
        <w:t>.</w:t>
      </w:r>
    </w:p>
    <w:p w:rsidR="00850E08" w:rsidRPr="007255EF" w:rsidRDefault="00D6276D"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03.5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01729E" w:rsidRPr="0001729E">
        <w:rPr>
          <w:rFonts w:ascii="Calibri" w:hAnsi="Calibri" w:cs="Tahoma"/>
          <w:bCs/>
        </w:rPr>
        <w:t>Δεκεμβρίου 2017</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01729E" w:rsidRPr="0001729E">
        <w:rPr>
          <w:rFonts w:ascii="Calibri" w:hAnsi="Calibri" w:cs="Tahoma"/>
          <w:b/>
          <w:bCs/>
        </w:rPr>
        <w:t>71,17</w:t>
      </w:r>
      <w:r w:rsidRPr="00F31B28">
        <w:rPr>
          <w:rFonts w:ascii="Calibri" w:hAnsi="Calibri" w:cs="Tahoma"/>
          <w:b/>
          <w:bCs/>
        </w:rPr>
        <w:t xml:space="preserve"> εκατ.</w:t>
      </w:r>
      <w:r w:rsidRPr="00CC6499">
        <w:rPr>
          <w:rFonts w:ascii="Calibri" w:hAnsi="Calibri" w:cs="Tahoma"/>
          <w:b/>
          <w:bCs/>
        </w:rPr>
        <w:t xml:space="preserve">, </w:t>
      </w:r>
      <w:r w:rsidR="0001729E" w:rsidRPr="0001729E">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01729E" w:rsidRPr="0001729E">
        <w:rPr>
          <w:rFonts w:ascii="Calibri" w:hAnsi="Calibri" w:cs="Tahoma"/>
          <w:bCs/>
        </w:rPr>
        <w:t>50,76</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01729E" w:rsidRPr="0001729E">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01729E" w:rsidRPr="0001729E">
        <w:rPr>
          <w:rFonts w:ascii="Calibri" w:hAnsi="Calibri" w:cs="Tahoma"/>
          <w:bCs/>
        </w:rPr>
        <w:t>57,39</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01729E" w:rsidRPr="0001729E">
        <w:rPr>
          <w:rFonts w:ascii="Calibri" w:hAnsi="Calibri" w:cs="Tahoma"/>
          <w:bCs/>
        </w:rPr>
        <w:t>Δεκέμβριο 2017</w:t>
      </w:r>
      <w:r w:rsidR="002A5EFF" w:rsidRPr="002A5EFF">
        <w:rPr>
          <w:rFonts w:ascii="Calibri" w:hAnsi="Calibri" w:cs="Tahoma"/>
          <w:b/>
          <w:bCs/>
        </w:rPr>
        <w:t xml:space="preserve"> </w:t>
      </w:r>
      <w:r w:rsidRPr="00F31B28">
        <w:rPr>
          <w:rFonts w:ascii="Calibri" w:hAnsi="Calibri" w:cs="Tahoma"/>
          <w:bCs/>
        </w:rPr>
        <w:t xml:space="preserve">ανήλθε στις </w:t>
      </w:r>
      <w:bookmarkStart w:id="0" w:name="_GoBack"/>
      <w:r w:rsidR="0001729E" w:rsidRPr="00D6276D">
        <w:rPr>
          <w:rFonts w:ascii="Calibri" w:hAnsi="Calibri" w:cs="Tahoma"/>
          <w:b/>
          <w:bCs/>
        </w:rPr>
        <w:t>16.965</w:t>
      </w:r>
      <w:r w:rsidR="002A5EFF" w:rsidRPr="002A5EFF">
        <w:rPr>
          <w:rFonts w:ascii="Calibri" w:hAnsi="Calibri" w:cs="Tahoma"/>
          <w:bCs/>
        </w:rPr>
        <w:t xml:space="preserve"> </w:t>
      </w:r>
      <w:bookmarkEnd w:id="0"/>
      <w:r w:rsidRPr="00F31B28">
        <w:rPr>
          <w:rFonts w:ascii="Calibri" w:hAnsi="Calibri" w:cs="Tahoma"/>
          <w:bCs/>
        </w:rPr>
        <w:t xml:space="preserve">έναντι </w:t>
      </w:r>
      <w:r w:rsidR="0001729E" w:rsidRPr="0001729E">
        <w:rPr>
          <w:rFonts w:ascii="Calibri" w:hAnsi="Calibri" w:cs="Tahoma"/>
          <w:bCs/>
        </w:rPr>
        <w:t>15.556</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01729E" w:rsidRPr="0001729E">
        <w:rPr>
          <w:rFonts w:ascii="Calibri" w:hAnsi="Calibri" w:cs="Tahoma"/>
          <w:bCs/>
        </w:rPr>
        <w:t>Δεκέμβριο του 2016</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01729E" w:rsidRPr="0001729E">
        <w:rPr>
          <w:rFonts w:ascii="Calibri" w:hAnsi="Calibri" w:cs="Tahoma"/>
          <w:bCs/>
        </w:rPr>
        <w:t>16.464</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01729E">
        <w:t>Δεκέμβριο 2017</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01729E" w:rsidRPr="0001729E">
        <w:rPr>
          <w:rFonts w:ascii="Calibri" w:hAnsi="Calibri" w:cs="Tahoma"/>
          <w:b/>
          <w:bCs/>
        </w:rPr>
        <w:t>588</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01729E" w:rsidRPr="0001729E">
        <w:rPr>
          <w:rFonts w:ascii="Calibri" w:hAnsi="Calibri" w:cs="Tahoma"/>
          <w:bCs/>
        </w:rPr>
        <w:t>595</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6D48C2"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01729E" w:rsidRPr="0001729E">
        <w:rPr>
          <w:rFonts w:ascii="Calibri" w:hAnsi="Calibri" w:cs="Tahoma"/>
          <w:b/>
          <w:bCs/>
        </w:rPr>
        <w:t>43,54</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01729E" w:rsidRPr="0001729E">
        <w:rPr>
          <w:rFonts w:ascii="Calibri" w:hAnsi="Calibri" w:cs="Tahoma"/>
          <w:bCs/>
        </w:rPr>
        <w:t>40,17</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01729E" w:rsidRPr="0001729E">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01729E" w:rsidRPr="0001729E">
        <w:rPr>
          <w:rFonts w:ascii="Calibri" w:hAnsi="Calibri" w:cs="Tahoma"/>
          <w:b/>
          <w:bCs/>
        </w:rPr>
        <w:t>8,4%</w:t>
      </w:r>
      <w:r w:rsidR="00745DF7">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01729E" w:rsidRPr="0001729E">
        <w:rPr>
          <w:rFonts w:ascii="Calibri" w:hAnsi="Calibri" w:cs="Tahoma"/>
          <w:bCs/>
        </w:rPr>
        <w:t>39,29</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01729E" w:rsidRPr="0001729E">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01729E" w:rsidRPr="0001729E">
        <w:rPr>
          <w:rFonts w:ascii="Calibri" w:hAnsi="Calibri" w:cs="Tahoma"/>
          <w:bCs/>
        </w:rPr>
        <w:t>10,8%</w:t>
      </w:r>
      <w:r w:rsidRPr="004C1D15">
        <w:rPr>
          <w:rFonts w:ascii="Calibri" w:hAnsi="Calibri" w:cs="Tahoma"/>
          <w:bCs/>
        </w:rPr>
        <w:t>.</w:t>
      </w:r>
    </w:p>
    <w:p w:rsidR="00016BFE" w:rsidRPr="006D48C2" w:rsidRDefault="00016BFE" w:rsidP="002D0B28">
      <w:pPr>
        <w:spacing w:before="120" w:after="120"/>
        <w:rPr>
          <w:rFonts w:ascii="Calibri" w:hAnsi="Calibri" w:cs="Tahoma"/>
          <w:bCs/>
        </w:rPr>
      </w:pPr>
    </w:p>
    <w:p w:rsidR="002D0B28" w:rsidRPr="00667C71" w:rsidRDefault="00D6276D" w:rsidP="00F03EFC">
      <w:pPr>
        <w:jc w:val="center"/>
        <w:rPr>
          <w:rFonts w:ascii="Calibri" w:hAnsi="Calibri"/>
          <w:sz w:val="18"/>
          <w:szCs w:val="18"/>
        </w:rPr>
      </w:pPr>
      <w:r>
        <w:rPr>
          <w:rFonts w:ascii="Calibri" w:hAnsi="Calibri"/>
          <w:i/>
          <w:sz w:val="18"/>
          <w:szCs w:val="18"/>
        </w:rPr>
        <w:lastRenderedPageBreak/>
        <w:pict>
          <v:shape id="_x0000_i1026" type="#_x0000_t75" style="width:413pt;height:103.5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t>Ανάλυση Συναλλαγών βάσει κατηγορίας επενδυτών</w:t>
      </w:r>
    </w:p>
    <w:p w:rsidR="002D0B28" w:rsidRPr="004035B8" w:rsidRDefault="002D0B28" w:rsidP="002D0B28">
      <w:pPr>
        <w:spacing w:before="120"/>
        <w:rPr>
          <w:rFonts w:ascii="Calibri" w:hAnsi="Calibri" w:cs="Tahoma"/>
          <w:bCs/>
        </w:rPr>
      </w:pPr>
      <w:r w:rsidRPr="004035B8">
        <w:rPr>
          <w:rFonts w:ascii="Calibri" w:hAnsi="Calibri" w:cs="Tahoma"/>
          <w:bCs/>
        </w:rPr>
        <w:t xml:space="preserve">Τον </w:t>
      </w:r>
      <w:r w:rsidR="0001729E" w:rsidRPr="0001729E">
        <w:rPr>
          <w:rFonts w:ascii="Calibri" w:hAnsi="Calibri" w:cs="Tahoma"/>
          <w:bCs/>
        </w:rPr>
        <w:t>Δεκέμβριο 2017</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01729E" w:rsidRPr="0001729E">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01729E" w:rsidRPr="0001729E">
        <w:rPr>
          <w:rFonts w:ascii="Calibri" w:hAnsi="Calibri" w:cs="Tahoma"/>
          <w:b/>
          <w:bCs/>
        </w:rPr>
        <w:t>72,66</w:t>
      </w:r>
      <w:r w:rsidR="002918D3" w:rsidRPr="002918D3">
        <w:rPr>
          <w:rFonts w:ascii="Calibri" w:hAnsi="Calibri" w:cs="Tahoma"/>
          <w:b/>
          <w:bCs/>
        </w:rPr>
        <w:t xml:space="preserve"> </w:t>
      </w:r>
      <w:r w:rsidRPr="004035B8">
        <w:rPr>
          <w:rFonts w:ascii="Calibri" w:hAnsi="Calibri" w:cs="Tahoma"/>
          <w:b/>
          <w:bCs/>
        </w:rPr>
        <w:t>εκατ</w:t>
      </w:r>
      <w:r w:rsidRPr="00592D7E">
        <w:rPr>
          <w:rFonts w:ascii="Calibri" w:hAnsi="Calibri" w:cs="Tahoma"/>
          <w:bCs/>
        </w:rPr>
        <w:t xml:space="preserve">. Οι </w:t>
      </w:r>
      <w:r w:rsidRPr="00592D7E">
        <w:rPr>
          <w:rFonts w:ascii="Calibri" w:hAnsi="Calibri" w:cs="Tahoma"/>
          <w:b/>
          <w:bCs/>
        </w:rPr>
        <w:t>μεγαλύτερες εισροές</w:t>
      </w:r>
      <w:r w:rsidRPr="00592D7E">
        <w:rPr>
          <w:rFonts w:ascii="Calibri" w:hAnsi="Calibri" w:cs="Tahoma"/>
          <w:bCs/>
        </w:rPr>
        <w:t xml:space="preserve"> προέρχονται από </w:t>
      </w:r>
      <w:r w:rsidR="00CD6A76" w:rsidRPr="00592D7E">
        <w:rPr>
          <w:rFonts w:ascii="Calibri" w:hAnsi="Calibri" w:cs="Tahoma"/>
          <w:bCs/>
        </w:rPr>
        <w:t xml:space="preserve">Λοιπά Χρηματοπιστωτικά Ιδρύματα (€90,51 εκατ.), Ασφαλιστικές Εταιρείες (€83,92 εκατ.), Μη Χρηματοπιστωτικές Επιχειρήσεις (€55,98 εκατ.), </w:t>
      </w:r>
      <w:r w:rsidR="00592D7E" w:rsidRPr="00592D7E">
        <w:rPr>
          <w:rFonts w:ascii="Calibri" w:hAnsi="Calibri" w:cs="Tahoma"/>
          <w:bCs/>
        </w:rPr>
        <w:t>Επαγγελματικά Ταμεία Ιδιωτικής Ασφάλισης (€1,18 εκατ.)</w:t>
      </w:r>
      <w:r w:rsidR="00592D7E">
        <w:rPr>
          <w:rFonts w:ascii="Calibri" w:hAnsi="Calibri" w:cs="Tahoma"/>
          <w:bCs/>
        </w:rPr>
        <w:t>,</w:t>
      </w:r>
      <w:r w:rsidR="00592D7E" w:rsidRPr="00592D7E">
        <w:rPr>
          <w:rFonts w:ascii="Calibri" w:hAnsi="Calibri" w:cs="Tahoma"/>
          <w:bCs/>
        </w:rPr>
        <w:t xml:space="preserve"> </w:t>
      </w:r>
      <w:r w:rsidRPr="00592D7E">
        <w:rPr>
          <w:rFonts w:ascii="Calibri" w:hAnsi="Calibri" w:cs="Tahoma"/>
          <w:bCs/>
        </w:rPr>
        <w:t xml:space="preserve">ενώ οι </w:t>
      </w:r>
      <w:r w:rsidRPr="00592D7E">
        <w:rPr>
          <w:rFonts w:ascii="Calibri" w:hAnsi="Calibri" w:cs="Tahoma"/>
          <w:b/>
          <w:bCs/>
        </w:rPr>
        <w:t>μεγαλύτερες εκροές</w:t>
      </w:r>
      <w:r w:rsidRPr="00592D7E">
        <w:rPr>
          <w:rFonts w:ascii="Calibri" w:hAnsi="Calibri" w:cs="Tahoma"/>
          <w:bCs/>
        </w:rPr>
        <w:t xml:space="preserve"> προέρχονται από </w:t>
      </w:r>
      <w:r w:rsidR="00592D7E" w:rsidRPr="00592D7E">
        <w:rPr>
          <w:rFonts w:ascii="Calibri" w:hAnsi="Calibri" w:cs="Tahoma"/>
          <w:bCs/>
        </w:rPr>
        <w:t xml:space="preserve">Πιστωτικά Ιδρύματα &amp; Πολυμερείς Αναπτυξιακές Τράπεζες (€112,27 εκατ.), </w:t>
      </w:r>
      <w:r w:rsidRPr="00592D7E">
        <w:rPr>
          <w:rFonts w:ascii="Calibri" w:hAnsi="Calibri" w:cs="Tahoma"/>
          <w:bCs/>
        </w:rPr>
        <w:t>Ετ. Επενδύσεων Χαρτοφυλακίου, Ετ. Επενδύσεων σε Ακίνητη Περιουσία, Λοιπά Αμοιβαία Κεφάλαια (€</w:t>
      </w:r>
      <w:r w:rsidR="00592D7E" w:rsidRPr="00592D7E">
        <w:rPr>
          <w:rFonts w:ascii="Calibri" w:hAnsi="Calibri" w:cs="Tahoma"/>
          <w:bCs/>
        </w:rPr>
        <w:t>39</w:t>
      </w:r>
      <w:r w:rsidRPr="00592D7E">
        <w:rPr>
          <w:rFonts w:ascii="Calibri" w:hAnsi="Calibri" w:cs="Tahoma"/>
          <w:bCs/>
        </w:rPr>
        <w:t>,</w:t>
      </w:r>
      <w:r w:rsidR="00592D7E" w:rsidRPr="00592D7E">
        <w:rPr>
          <w:rFonts w:ascii="Calibri" w:hAnsi="Calibri" w:cs="Tahoma"/>
          <w:bCs/>
        </w:rPr>
        <w:t>53 εκατ.), Οργανισμούς ΕΕ (€7,8</w:t>
      </w:r>
      <w:r w:rsidR="00AF7D58">
        <w:rPr>
          <w:rFonts w:ascii="Calibri" w:hAnsi="Calibri" w:cs="Tahoma"/>
          <w:bCs/>
        </w:rPr>
        <w:t>3 εκατ.).</w:t>
      </w:r>
    </w:p>
    <w:p w:rsidR="009057BB" w:rsidRDefault="002D0B28" w:rsidP="002D0B28">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01729E" w:rsidRPr="0001729E">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01729E" w:rsidRPr="0001729E">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01729E" w:rsidRPr="0001729E">
        <w:rPr>
          <w:rFonts w:ascii="Calibri" w:hAnsi="Calibri" w:cs="Tahoma"/>
          <w:b/>
          <w:bCs/>
        </w:rPr>
        <w:t>72,62</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DF4453">
        <w:rPr>
          <w:rFonts w:ascii="Calibri" w:hAnsi="Calibri" w:cs="Tahoma"/>
          <w:b/>
          <w:bCs/>
        </w:rPr>
        <w:t>μεγαλύτερες εκροές</w:t>
      </w:r>
      <w:r w:rsidRPr="00DF4453">
        <w:rPr>
          <w:rFonts w:ascii="Calibri" w:hAnsi="Calibri" w:cs="Tahoma"/>
          <w:bCs/>
        </w:rPr>
        <w:t xml:space="preserve"> προέρχονται από </w:t>
      </w:r>
      <w:r w:rsidR="00DF4453" w:rsidRPr="00DF4453">
        <w:rPr>
          <w:rFonts w:ascii="Calibri" w:hAnsi="Calibri" w:cs="Tahoma"/>
          <w:bCs/>
        </w:rPr>
        <w:t>Ιδιώτες</w:t>
      </w:r>
      <w:r w:rsidR="00DF4453" w:rsidRPr="00976CBB">
        <w:rPr>
          <w:rFonts w:ascii="Calibri" w:hAnsi="Calibri" w:cs="Tahoma"/>
          <w:bCs/>
        </w:rPr>
        <w:t>, Ελεύθερο</w:t>
      </w:r>
      <w:r w:rsidR="009E3CA6">
        <w:rPr>
          <w:rFonts w:ascii="Calibri" w:hAnsi="Calibri" w:cs="Tahoma"/>
          <w:bCs/>
        </w:rPr>
        <w:t>υς</w:t>
      </w:r>
      <w:r w:rsidR="00DF4453" w:rsidRPr="00976CBB">
        <w:rPr>
          <w:rFonts w:ascii="Calibri" w:hAnsi="Calibri" w:cs="Tahoma"/>
          <w:bCs/>
        </w:rPr>
        <w:t xml:space="preserve"> Επαγγελματίες, Αγρότες &amp; Ατομικές Επιχειρήσεις</w:t>
      </w:r>
      <w:r w:rsidR="00DF4453">
        <w:rPr>
          <w:rFonts w:ascii="Calibri" w:hAnsi="Calibri" w:cs="Tahoma"/>
          <w:bCs/>
        </w:rPr>
        <w:t xml:space="preserve"> </w:t>
      </w:r>
      <w:r w:rsidR="00DF4453" w:rsidRPr="00DF4453">
        <w:rPr>
          <w:rFonts w:ascii="Calibri" w:hAnsi="Calibri" w:cs="Tahoma"/>
          <w:bCs/>
        </w:rPr>
        <w:t xml:space="preserve">(€49,54 εκατ.), </w:t>
      </w:r>
      <w:r w:rsidR="00DF4453" w:rsidRPr="00592D7E">
        <w:rPr>
          <w:rFonts w:ascii="Calibri" w:hAnsi="Calibri" w:cs="Tahoma"/>
          <w:bCs/>
        </w:rPr>
        <w:t>Πιστωτικά Ιδρύματα &amp; Πολυμερείς Αναπτυξιακές Τράπεζες (€1</w:t>
      </w:r>
      <w:r w:rsidR="00DF4453">
        <w:rPr>
          <w:rFonts w:ascii="Calibri" w:hAnsi="Calibri" w:cs="Tahoma"/>
          <w:bCs/>
        </w:rPr>
        <w:t>9</w:t>
      </w:r>
      <w:r w:rsidR="00DF4453" w:rsidRPr="00592D7E">
        <w:rPr>
          <w:rFonts w:ascii="Calibri" w:hAnsi="Calibri" w:cs="Tahoma"/>
          <w:bCs/>
        </w:rPr>
        <w:t>,</w:t>
      </w:r>
      <w:r w:rsidR="00DF4453">
        <w:rPr>
          <w:rFonts w:ascii="Calibri" w:hAnsi="Calibri" w:cs="Tahoma"/>
          <w:bCs/>
        </w:rPr>
        <w:t>56</w:t>
      </w:r>
      <w:r w:rsidR="00DF4453" w:rsidRPr="00592D7E">
        <w:rPr>
          <w:rFonts w:ascii="Calibri" w:hAnsi="Calibri" w:cs="Tahoma"/>
          <w:bCs/>
        </w:rPr>
        <w:t xml:space="preserve"> εκατ.),</w:t>
      </w:r>
      <w:r w:rsidR="00CD421D">
        <w:rPr>
          <w:rFonts w:ascii="Calibri" w:hAnsi="Calibri" w:cs="Tahoma"/>
          <w:bCs/>
        </w:rPr>
        <w:t xml:space="preserve"> </w:t>
      </w:r>
      <w:r w:rsidR="00DF4453" w:rsidRPr="00DF4453">
        <w:rPr>
          <w:rFonts w:ascii="Calibri" w:hAnsi="Calibri" w:cs="Tahoma"/>
          <w:bCs/>
        </w:rPr>
        <w:t>Λοιπά Χρηματοπιστωτικά Ιδρύματα (€17,10</w:t>
      </w:r>
      <w:r w:rsidR="00DF4453">
        <w:rPr>
          <w:rFonts w:ascii="Calibri" w:hAnsi="Calibri" w:cs="Tahoma"/>
          <w:bCs/>
        </w:rPr>
        <w:t xml:space="preserve"> εκατ.), </w:t>
      </w:r>
      <w:r w:rsidR="00DF4453" w:rsidRPr="00DF4453">
        <w:rPr>
          <w:rFonts w:ascii="Calibri" w:hAnsi="Calibri" w:cs="Tahoma"/>
          <w:bCs/>
        </w:rPr>
        <w:t>Μη Χρηματοπιστωτικές Επιχειρήσεις (€6,77 εκατ.),</w:t>
      </w:r>
      <w:r w:rsidR="00DF4453">
        <w:rPr>
          <w:rFonts w:ascii="Calibri" w:hAnsi="Calibri" w:cs="Tahoma"/>
          <w:bCs/>
        </w:rPr>
        <w:t xml:space="preserve"> </w:t>
      </w:r>
      <w:r w:rsidRPr="009057BB">
        <w:rPr>
          <w:rFonts w:ascii="Calibri" w:hAnsi="Calibri" w:cs="Tahoma"/>
          <w:bCs/>
        </w:rPr>
        <w:t xml:space="preserve">ενώ </w:t>
      </w:r>
      <w:r w:rsidRPr="009057BB">
        <w:rPr>
          <w:rFonts w:ascii="Calibri" w:hAnsi="Calibri" w:cs="Tahoma"/>
          <w:b/>
          <w:bCs/>
        </w:rPr>
        <w:t>οι μεγαλύτερες εισροές</w:t>
      </w:r>
      <w:r w:rsidRPr="009057BB">
        <w:rPr>
          <w:rFonts w:ascii="Calibri" w:hAnsi="Calibri" w:cs="Tahoma"/>
          <w:bCs/>
        </w:rPr>
        <w:t xml:space="preserve"> προέρχονται από </w:t>
      </w:r>
      <w:r w:rsidR="009057BB" w:rsidRPr="009057BB">
        <w:rPr>
          <w:rFonts w:ascii="Calibri" w:hAnsi="Calibri" w:cs="Tahoma"/>
          <w:bCs/>
        </w:rPr>
        <w:t>Αμοιβαία Κεφάλαια Χρηματαγοράς (€12,22 εκατ.), Επαγγελματικά Ταμεία Ιδιωτικής Ασφάλισης (€4,39 εκατ.), Ετ. Επενδύσεων Χαρτοφυλακίου, Ετ. Επενδύσεων σε Ακίνητη Περιουσία, Λοιπά Αμοιβαία Κεφάλαια (€3,73 εκατ.).</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01729E" w:rsidRPr="0001729E">
        <w:rPr>
          <w:rFonts w:ascii="Calibri" w:hAnsi="Calibri" w:cs="Tahoma"/>
          <w:bCs/>
        </w:rPr>
        <w:t>Δεκέμβριο 2017</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01729E" w:rsidRPr="0001729E">
        <w:rPr>
          <w:rFonts w:ascii="Calibri" w:hAnsi="Calibri" w:cs="Tahoma"/>
          <w:b/>
          <w:bCs/>
        </w:rPr>
        <w:t>64,3%</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01729E" w:rsidRPr="0001729E">
        <w:rPr>
          <w:rFonts w:ascii="Calibri" w:hAnsi="Calibri" w:cs="Tahoma"/>
          <w:bCs/>
        </w:rPr>
        <w:t>57,3%</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01729E" w:rsidRPr="0001729E">
        <w:rPr>
          <w:rFonts w:ascii="Calibri" w:hAnsi="Calibri" w:cs="Tahoma"/>
          <w:bCs/>
        </w:rPr>
        <w:t>Δεκέμβριο του 2016</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01729E" w:rsidRPr="0001729E">
        <w:rPr>
          <w:rFonts w:ascii="Calibri" w:hAnsi="Calibri" w:cs="Tahoma"/>
          <w:bCs/>
        </w:rPr>
        <w:t>52,0%</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01729E" w:rsidRPr="0001729E">
        <w:rPr>
          <w:rFonts w:ascii="Calibri" w:hAnsi="Calibri" w:cs="Tahoma"/>
          <w:bCs/>
        </w:rPr>
        <w:t>Δεκέμβριο 2017</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01729E" w:rsidRPr="0001729E">
        <w:rPr>
          <w:rFonts w:ascii="Calibri" w:hAnsi="Calibri" w:cs="Tahoma"/>
          <w:b/>
          <w:bCs/>
        </w:rPr>
        <w:t>16,9%</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01729E" w:rsidRPr="0001729E">
        <w:rPr>
          <w:rFonts w:ascii="Calibri" w:hAnsi="Calibri" w:cs="Tahoma"/>
          <w:bCs/>
        </w:rPr>
        <w:t>17,6%</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01729E" w:rsidRPr="0001729E">
        <w:rPr>
          <w:rFonts w:ascii="Calibri" w:hAnsi="Calibri" w:cs="Tahoma"/>
          <w:bCs/>
        </w:rPr>
        <w:t>18,1%</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D6276D" w:rsidP="00CD2293">
      <w:pPr>
        <w:pStyle w:val="Caption"/>
        <w:jc w:val="center"/>
        <w:rPr>
          <w:b/>
          <w:i w:val="0"/>
          <w:sz w:val="18"/>
          <w:szCs w:val="18"/>
        </w:rPr>
      </w:pPr>
      <w:r>
        <w:rPr>
          <w:rFonts w:ascii="Calibri" w:eastAsiaTheme="minorHAnsi" w:hAnsi="Calibri" w:cstheme="minorBidi"/>
          <w:color w:val="58585A"/>
          <w:sz w:val="18"/>
          <w:szCs w:val="18"/>
        </w:rPr>
        <w:lastRenderedPageBreak/>
        <w:pict>
          <v:shape id="_x0000_i1027" type="#_x0000_t75" style="width:415pt;height:102.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01729E" w:rsidRPr="0001729E">
        <w:rPr>
          <w:rFonts w:ascii="Calibri" w:hAnsi="Calibri" w:cs="Tahoma"/>
          <w:b/>
          <w:bCs/>
        </w:rPr>
        <w:t>63,5%</w:t>
      </w:r>
      <w:r w:rsidR="003E1BA5" w:rsidRPr="003E1BA5">
        <w:rPr>
          <w:rFonts w:ascii="Calibri" w:hAnsi="Calibri" w:cs="Tahoma"/>
          <w:bCs/>
        </w:rPr>
        <w:t xml:space="preserve"> </w:t>
      </w:r>
      <w:r w:rsidRPr="00255634">
        <w:rPr>
          <w:rFonts w:ascii="Calibri" w:hAnsi="Calibri" w:cs="Tahoma"/>
          <w:bCs/>
        </w:rPr>
        <w:t xml:space="preserve">παρουσιάζοντας </w:t>
      </w:r>
      <w:r w:rsidR="0001729E" w:rsidRPr="0001729E">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 xml:space="preserve">συγκριτικά με το ποσοστό </w:t>
      </w:r>
      <w:r w:rsidR="00745DF7">
        <w:rPr>
          <w:rFonts w:ascii="Calibri" w:hAnsi="Calibri" w:cs="Tahoma"/>
          <w:bCs/>
        </w:rPr>
        <w:t xml:space="preserve">του 62,3%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01729E" w:rsidRPr="0001729E">
        <w:rPr>
          <w:rFonts w:ascii="Calibri" w:hAnsi="Calibri" w:cs="Tahoma"/>
          <w:bCs/>
        </w:rPr>
        <w:t>Νοεμβρίου 2017</w:t>
      </w:r>
      <w:r w:rsidRPr="00255634">
        <w:rPr>
          <w:rFonts w:ascii="Calibri" w:hAnsi="Calibri" w:cs="Tahoma"/>
          <w:bCs/>
        </w:rPr>
        <w:t xml:space="preserve">, ενώ χωρίς την συμμετοχή του ΤΧΣ το ποσοστό αυτό διαμορφώθηκε στο </w:t>
      </w:r>
      <w:r w:rsidR="00745DF7" w:rsidRPr="0001729E">
        <w:rPr>
          <w:rFonts w:ascii="Calibri" w:hAnsi="Calibri" w:cs="Tahoma"/>
          <w:bCs/>
        </w:rPr>
        <w:t>66,4%</w:t>
      </w:r>
      <w:r w:rsidR="00745DF7">
        <w:t xml:space="preserve"> </w:t>
      </w:r>
      <w:r w:rsidRPr="00255634">
        <w:rPr>
          <w:rFonts w:ascii="Calibri" w:hAnsi="Calibri" w:cs="Tahoma"/>
          <w:bCs/>
        </w:rPr>
        <w:t xml:space="preserve">έναντι </w:t>
      </w:r>
      <w:r w:rsidR="0001729E" w:rsidRPr="0001729E">
        <w:rPr>
          <w:rFonts w:ascii="Calibri" w:hAnsi="Calibri" w:cs="Tahoma"/>
          <w:bCs/>
        </w:rPr>
        <w:t>6</w:t>
      </w:r>
      <w:r w:rsidR="00745DF7">
        <w:rPr>
          <w:rFonts w:ascii="Calibri" w:hAnsi="Calibri" w:cs="Tahoma"/>
          <w:bCs/>
        </w:rPr>
        <w:t>4</w:t>
      </w:r>
      <w:r w:rsidR="0001729E" w:rsidRPr="0001729E">
        <w:rPr>
          <w:rFonts w:ascii="Calibri" w:hAnsi="Calibri" w:cs="Tahoma"/>
          <w:bCs/>
        </w:rPr>
        <w:t>,</w:t>
      </w:r>
      <w:r w:rsidR="00745DF7">
        <w:rPr>
          <w:rFonts w:ascii="Calibri" w:hAnsi="Calibri" w:cs="Tahoma"/>
          <w:bCs/>
        </w:rPr>
        <w:t>8</w:t>
      </w:r>
      <w:r w:rsidR="0001729E" w:rsidRPr="0001729E">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01729E" w:rsidRPr="0001729E">
        <w:rPr>
          <w:rFonts w:ascii="Calibri" w:hAnsi="Calibri" w:cs="Tahoma"/>
          <w:bCs/>
        </w:rPr>
        <w:t>61,4%</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01729E" w:rsidRPr="0001729E">
        <w:rPr>
          <w:rFonts w:ascii="Calibri" w:hAnsi="Calibri" w:cs="Tahoma"/>
          <w:bCs/>
        </w:rPr>
        <w:t>64,3%</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01729E" w:rsidRPr="0001729E">
        <w:rPr>
          <w:rFonts w:ascii="Calibri" w:hAnsi="Calibri" w:cs="Tahoma"/>
          <w:bCs/>
        </w:rPr>
        <w:t>36,4%</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D6276D" w:rsidP="00F03EFC">
      <w:pPr>
        <w:jc w:val="center"/>
      </w:pPr>
      <w:r>
        <w:rPr>
          <w:i/>
          <w:sz w:val="18"/>
          <w:szCs w:val="18"/>
        </w:rPr>
        <w:pict>
          <v:shape id="_x0000_i1028" type="#_x0000_t75" style="width:416.5pt;height:154.5pt">
            <v:imagedata r:id="rId11" o:title=""/>
          </v:shape>
        </w:pict>
      </w:r>
      <w:r w:rsidR="00F03EFC" w:rsidRPr="005C03B8">
        <w:rPr>
          <w:i/>
          <w:sz w:val="18"/>
          <w:szCs w:val="18"/>
        </w:rPr>
        <w:t>Γράφημα 4</w:t>
      </w:r>
    </w:p>
    <w:p w:rsidR="002472F7" w:rsidRPr="004564E9" w:rsidRDefault="002472F7" w:rsidP="00EF30E5"/>
    <w:p w:rsidR="002472F7" w:rsidRPr="004564E9" w:rsidRDefault="002472F7"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B51F92" w:rsidRPr="002610EA" w:rsidRDefault="00B51F92" w:rsidP="00B51F92">
      <w:pPr>
        <w:pStyle w:val="NormalStrong"/>
        <w:rPr>
          <w:szCs w:val="24"/>
        </w:rPr>
      </w:pPr>
      <w:r w:rsidRPr="002610EA">
        <w:rPr>
          <w:szCs w:val="24"/>
        </w:rPr>
        <w:lastRenderedPageBreak/>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5952A6" w:rsidRDefault="00B51F92" w:rsidP="00B51F92">
      <w:pPr>
        <w:spacing w:after="0"/>
        <w:rPr>
          <w:rStyle w:val="Hyperlink"/>
          <w:lang w:val="en-US"/>
        </w:rPr>
      </w:pPr>
      <w:proofErr w:type="spellStart"/>
      <w:r w:rsidRPr="002610EA">
        <w:rPr>
          <w:sz w:val="20"/>
          <w:szCs w:val="20"/>
        </w:rPr>
        <w:t>Τηλ</w:t>
      </w:r>
      <w:proofErr w:type="spellEnd"/>
      <w:r w:rsidRPr="002610EA">
        <w:rPr>
          <w:sz w:val="20"/>
          <w:szCs w:val="20"/>
          <w:lang w:val="it-IT"/>
        </w:rPr>
        <w:t xml:space="preserve">: 210 33 66 565, e-mail: </w:t>
      </w:r>
      <w:r w:rsidR="00D45075" w:rsidRPr="002610EA">
        <w:fldChar w:fldCharType="begin"/>
      </w:r>
      <w:r w:rsidR="00D45075" w:rsidRPr="002610EA">
        <w:rPr>
          <w:sz w:val="20"/>
          <w:szCs w:val="20"/>
          <w:lang w:val="en-US"/>
        </w:rPr>
        <w:instrText xml:space="preserve"> HYPERLINK "mailto:StatProducts@athexgroup.gr" </w:instrText>
      </w:r>
      <w:r w:rsidR="00D45075" w:rsidRPr="002610EA">
        <w:fldChar w:fldCharType="separate"/>
      </w:r>
      <w:r w:rsidRPr="002610EA">
        <w:rPr>
          <w:rStyle w:val="Hyperlink"/>
          <w:sz w:val="20"/>
          <w:szCs w:val="20"/>
          <w:lang w:val="it-IT"/>
        </w:rPr>
        <w:t>StatProducts@athexgroup.gr</w:t>
      </w:r>
      <w:r w:rsidR="00D45075" w:rsidRPr="002610EA">
        <w:rPr>
          <w:rStyle w:val="Hyperlink"/>
          <w:sz w:val="20"/>
          <w:szCs w:val="20"/>
          <w:lang w:val="it-IT"/>
        </w:rPr>
        <w:fldChar w:fldCharType="end"/>
      </w:r>
      <w:r w:rsidRPr="00B51F92">
        <w:rPr>
          <w:rStyle w:val="Hyperlink"/>
          <w:lang w:val="it-IT"/>
        </w:rPr>
        <w:t xml:space="preserve"> </w:t>
      </w:r>
    </w:p>
    <w:p w:rsidR="007329A5" w:rsidRPr="005952A6" w:rsidRDefault="007329A5" w:rsidP="00B51F92">
      <w:pPr>
        <w:spacing w:after="0"/>
        <w:rPr>
          <w:rStyle w:val="Hyperlink"/>
          <w:lang w:val="en-US"/>
        </w:rPr>
      </w:pPr>
    </w:p>
    <w:p w:rsidR="007329A5" w:rsidRDefault="007329A5" w:rsidP="00B51F92">
      <w:pPr>
        <w:spacing w:after="0"/>
        <w:rPr>
          <w:rStyle w:val="Hyperlink"/>
          <w:lang w:val="en-US"/>
        </w:rPr>
      </w:pPr>
    </w:p>
    <w:p w:rsidR="0056523A" w:rsidRPr="006D48C2" w:rsidRDefault="0056523A" w:rsidP="00B51F92">
      <w:pPr>
        <w:spacing w:after="0"/>
        <w:rPr>
          <w:rStyle w:val="Hyperlink"/>
          <w:lang w:val="en-US"/>
        </w:rPr>
      </w:pPr>
    </w:p>
    <w:p w:rsidR="0056523A" w:rsidRPr="006D48C2" w:rsidRDefault="0056523A" w:rsidP="00B51F92">
      <w:pPr>
        <w:spacing w:after="0"/>
        <w:rPr>
          <w:rStyle w:val="Hyperlink"/>
          <w:lang w:val="en-US"/>
        </w:rPr>
      </w:pPr>
    </w:p>
    <w:p w:rsidR="0056523A" w:rsidRPr="006D48C2" w:rsidRDefault="0056523A" w:rsidP="00B51F92">
      <w:pPr>
        <w:spacing w:after="0"/>
        <w:rPr>
          <w:rStyle w:val="Hyperlink"/>
          <w:lang w:val="en-US"/>
        </w:rPr>
      </w:pPr>
    </w:p>
    <w:p w:rsidR="007329A5" w:rsidRPr="005952A6" w:rsidRDefault="007329A5" w:rsidP="00B51F92">
      <w:pPr>
        <w:spacing w:after="0"/>
        <w:rPr>
          <w:rStyle w:val="Hyperlink"/>
          <w:lang w:val="en-US"/>
        </w:rPr>
      </w:pPr>
    </w:p>
    <w:p w:rsidR="00C84581" w:rsidRPr="00C5252B" w:rsidRDefault="00C84581" w:rsidP="00C84581">
      <w:pPr>
        <w:pStyle w:val="NormalStrong"/>
        <w:rPr>
          <w:rFonts w:cs="Arial"/>
          <w:szCs w:val="24"/>
        </w:rPr>
      </w:pPr>
      <w:r w:rsidRPr="00C5252B">
        <w:rPr>
          <w:rFonts w:cs="Arial"/>
          <w:szCs w:val="24"/>
        </w:rPr>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0D" w:rsidRDefault="0047110D" w:rsidP="00035040">
      <w:r>
        <w:separator/>
      </w:r>
    </w:p>
  </w:endnote>
  <w:endnote w:type="continuationSeparator" w:id="0">
    <w:p w:rsidR="0047110D" w:rsidRDefault="0047110D"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20"/>
          <w:szCs w:val="20"/>
        </w:rPr>
        <w:id w:val="-1584517604"/>
        <w:docPartObj>
          <w:docPartGallery w:val="Page Numbers (Margins)"/>
          <w:docPartUnique/>
        </w:docPartObj>
      </w:sdtPr>
      <w:sdtEndPr/>
      <w:sdtContent>
        <w:sdt>
          <w:sdtPr>
            <w:rPr>
              <w:sz w:val="20"/>
              <w:szCs w:val="20"/>
            </w:rPr>
            <w:id w:val="933708925"/>
            <w:docPartObj>
              <w:docPartGallery w:val="Page Numbers (Margins)"/>
              <w:docPartUnique/>
            </w:docPartObj>
          </w:sdtPr>
          <w:sdtEndPr/>
          <w:sdtContent>
            <w:r w:rsidRPr="004C6AAB">
              <w:rPr>
                <w:rFonts w:eastAsiaTheme="minorEastAsia" w:cs="Times New Roman"/>
                <w:sz w:val="20"/>
                <w:szCs w:val="20"/>
              </w:rPr>
              <w:fldChar w:fldCharType="begin"/>
            </w:r>
            <w:r w:rsidRPr="004C6AAB">
              <w:rPr>
                <w:sz w:val="20"/>
                <w:szCs w:val="20"/>
              </w:rPr>
              <w:instrText xml:space="preserve"> PAGE   \* MERGEFORMAT </w:instrText>
            </w:r>
            <w:r w:rsidRPr="004C6AAB">
              <w:rPr>
                <w:rFonts w:eastAsiaTheme="minorEastAsia" w:cs="Times New Roman"/>
                <w:sz w:val="20"/>
                <w:szCs w:val="20"/>
              </w:rPr>
              <w:fldChar w:fldCharType="separate"/>
            </w:r>
            <w:r w:rsidR="00D6276D">
              <w:rPr>
                <w:noProof/>
                <w:sz w:val="20"/>
                <w:szCs w:val="20"/>
              </w:rPr>
              <w:t>3</w:t>
            </w:r>
            <w:r w:rsidRPr="004C6AAB">
              <w:rPr>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0D" w:rsidRDefault="0047110D" w:rsidP="00035040">
      <w:r>
        <w:separator/>
      </w:r>
    </w:p>
  </w:footnote>
  <w:footnote w:type="continuationSeparator" w:id="0">
    <w:p w:rsidR="0047110D" w:rsidRDefault="0047110D"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6079605E" wp14:editId="2B72E857">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3464"/>
    <w:rsid w:val="00016BFE"/>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B079C"/>
    <w:rsid w:val="000B38DC"/>
    <w:rsid w:val="000B395D"/>
    <w:rsid w:val="000C5940"/>
    <w:rsid w:val="000D4C76"/>
    <w:rsid w:val="000D52EF"/>
    <w:rsid w:val="000E6407"/>
    <w:rsid w:val="000F0B14"/>
    <w:rsid w:val="00111569"/>
    <w:rsid w:val="001176D4"/>
    <w:rsid w:val="00127070"/>
    <w:rsid w:val="0013530D"/>
    <w:rsid w:val="00137A4F"/>
    <w:rsid w:val="00140E03"/>
    <w:rsid w:val="00156469"/>
    <w:rsid w:val="001609EB"/>
    <w:rsid w:val="001757B3"/>
    <w:rsid w:val="00176CB9"/>
    <w:rsid w:val="00176FC1"/>
    <w:rsid w:val="00177E6C"/>
    <w:rsid w:val="001803C7"/>
    <w:rsid w:val="00182FEB"/>
    <w:rsid w:val="0018603F"/>
    <w:rsid w:val="001922E5"/>
    <w:rsid w:val="001933FE"/>
    <w:rsid w:val="001A3A61"/>
    <w:rsid w:val="001A492B"/>
    <w:rsid w:val="001B0C65"/>
    <w:rsid w:val="001C27DD"/>
    <w:rsid w:val="001C362B"/>
    <w:rsid w:val="001C6047"/>
    <w:rsid w:val="001D0FEA"/>
    <w:rsid w:val="001F48E9"/>
    <w:rsid w:val="001F52EC"/>
    <w:rsid w:val="00201CDD"/>
    <w:rsid w:val="00213D9F"/>
    <w:rsid w:val="00244E4F"/>
    <w:rsid w:val="002472F7"/>
    <w:rsid w:val="002525C8"/>
    <w:rsid w:val="002610EA"/>
    <w:rsid w:val="0027020F"/>
    <w:rsid w:val="002741D2"/>
    <w:rsid w:val="00274451"/>
    <w:rsid w:val="002761DE"/>
    <w:rsid w:val="00285EB3"/>
    <w:rsid w:val="00290616"/>
    <w:rsid w:val="002918D3"/>
    <w:rsid w:val="0029756F"/>
    <w:rsid w:val="002A5EFF"/>
    <w:rsid w:val="002C0DB8"/>
    <w:rsid w:val="002C20E4"/>
    <w:rsid w:val="002C504C"/>
    <w:rsid w:val="002C6E3F"/>
    <w:rsid w:val="002D0B28"/>
    <w:rsid w:val="002E020F"/>
    <w:rsid w:val="002E4833"/>
    <w:rsid w:val="002E5700"/>
    <w:rsid w:val="003026A1"/>
    <w:rsid w:val="00304BD7"/>
    <w:rsid w:val="00336963"/>
    <w:rsid w:val="00354513"/>
    <w:rsid w:val="00363CFE"/>
    <w:rsid w:val="00371ADF"/>
    <w:rsid w:val="003723FC"/>
    <w:rsid w:val="0038195D"/>
    <w:rsid w:val="00397C0E"/>
    <w:rsid w:val="003B5303"/>
    <w:rsid w:val="003B7EA0"/>
    <w:rsid w:val="003C4403"/>
    <w:rsid w:val="003D1207"/>
    <w:rsid w:val="003D3A7C"/>
    <w:rsid w:val="003D523D"/>
    <w:rsid w:val="003E1BA5"/>
    <w:rsid w:val="003F3EDE"/>
    <w:rsid w:val="003F4E7D"/>
    <w:rsid w:val="003F4E95"/>
    <w:rsid w:val="0040487A"/>
    <w:rsid w:val="00405690"/>
    <w:rsid w:val="00421020"/>
    <w:rsid w:val="00421DB2"/>
    <w:rsid w:val="004272A8"/>
    <w:rsid w:val="00430337"/>
    <w:rsid w:val="004377D4"/>
    <w:rsid w:val="004564E9"/>
    <w:rsid w:val="004676BC"/>
    <w:rsid w:val="0047110D"/>
    <w:rsid w:val="00471EEA"/>
    <w:rsid w:val="004754AE"/>
    <w:rsid w:val="004837D7"/>
    <w:rsid w:val="00492B38"/>
    <w:rsid w:val="004A6465"/>
    <w:rsid w:val="004B6506"/>
    <w:rsid w:val="004C4CF3"/>
    <w:rsid w:val="004C59B9"/>
    <w:rsid w:val="004C651F"/>
    <w:rsid w:val="004C6AAB"/>
    <w:rsid w:val="004D71F4"/>
    <w:rsid w:val="004E0ECD"/>
    <w:rsid w:val="004E42D5"/>
    <w:rsid w:val="004E5CC4"/>
    <w:rsid w:val="00501724"/>
    <w:rsid w:val="005176C4"/>
    <w:rsid w:val="00520AD1"/>
    <w:rsid w:val="005251E4"/>
    <w:rsid w:val="00525B60"/>
    <w:rsid w:val="0052679B"/>
    <w:rsid w:val="00530A74"/>
    <w:rsid w:val="00533C37"/>
    <w:rsid w:val="005421C4"/>
    <w:rsid w:val="00543C3D"/>
    <w:rsid w:val="0055693A"/>
    <w:rsid w:val="00561D1D"/>
    <w:rsid w:val="00564A66"/>
    <w:rsid w:val="0056523A"/>
    <w:rsid w:val="00576B84"/>
    <w:rsid w:val="00576D5E"/>
    <w:rsid w:val="005773BD"/>
    <w:rsid w:val="00585102"/>
    <w:rsid w:val="005902FD"/>
    <w:rsid w:val="00592D7E"/>
    <w:rsid w:val="005952A6"/>
    <w:rsid w:val="005A6FCE"/>
    <w:rsid w:val="005C03B8"/>
    <w:rsid w:val="005C0EFF"/>
    <w:rsid w:val="005D3B83"/>
    <w:rsid w:val="005D49C3"/>
    <w:rsid w:val="005D56C9"/>
    <w:rsid w:val="005F03FA"/>
    <w:rsid w:val="0060105E"/>
    <w:rsid w:val="00612216"/>
    <w:rsid w:val="0061623B"/>
    <w:rsid w:val="00625430"/>
    <w:rsid w:val="00642787"/>
    <w:rsid w:val="00666F90"/>
    <w:rsid w:val="00667C71"/>
    <w:rsid w:val="00674BFD"/>
    <w:rsid w:val="00676EE8"/>
    <w:rsid w:val="00676FBA"/>
    <w:rsid w:val="006773A3"/>
    <w:rsid w:val="006818C8"/>
    <w:rsid w:val="00682ED5"/>
    <w:rsid w:val="00684FFC"/>
    <w:rsid w:val="006867D2"/>
    <w:rsid w:val="00693891"/>
    <w:rsid w:val="006D48C2"/>
    <w:rsid w:val="006D7427"/>
    <w:rsid w:val="00701590"/>
    <w:rsid w:val="00710B7C"/>
    <w:rsid w:val="00713276"/>
    <w:rsid w:val="0071689B"/>
    <w:rsid w:val="0072053C"/>
    <w:rsid w:val="00724BAE"/>
    <w:rsid w:val="007255EF"/>
    <w:rsid w:val="007329A5"/>
    <w:rsid w:val="0074132D"/>
    <w:rsid w:val="00745DF7"/>
    <w:rsid w:val="007466AC"/>
    <w:rsid w:val="007546F0"/>
    <w:rsid w:val="00761C11"/>
    <w:rsid w:val="00774E7D"/>
    <w:rsid w:val="007804B0"/>
    <w:rsid w:val="007804FA"/>
    <w:rsid w:val="00787BB3"/>
    <w:rsid w:val="00790C97"/>
    <w:rsid w:val="007A43DA"/>
    <w:rsid w:val="007D0822"/>
    <w:rsid w:val="007D1E0F"/>
    <w:rsid w:val="007D1F80"/>
    <w:rsid w:val="007D293E"/>
    <w:rsid w:val="007D2C2C"/>
    <w:rsid w:val="007D34B0"/>
    <w:rsid w:val="007E4474"/>
    <w:rsid w:val="007E66ED"/>
    <w:rsid w:val="00803A1F"/>
    <w:rsid w:val="008101F5"/>
    <w:rsid w:val="008128D2"/>
    <w:rsid w:val="00816FD9"/>
    <w:rsid w:val="00820504"/>
    <w:rsid w:val="0082298F"/>
    <w:rsid w:val="0083204E"/>
    <w:rsid w:val="008359C6"/>
    <w:rsid w:val="00842DAD"/>
    <w:rsid w:val="00845D8C"/>
    <w:rsid w:val="00846341"/>
    <w:rsid w:val="008465BB"/>
    <w:rsid w:val="00847563"/>
    <w:rsid w:val="008500B7"/>
    <w:rsid w:val="00850E08"/>
    <w:rsid w:val="00870B13"/>
    <w:rsid w:val="00877096"/>
    <w:rsid w:val="00887493"/>
    <w:rsid w:val="00892D52"/>
    <w:rsid w:val="00893F12"/>
    <w:rsid w:val="008B770D"/>
    <w:rsid w:val="008D14A1"/>
    <w:rsid w:val="008F1847"/>
    <w:rsid w:val="008F4DD7"/>
    <w:rsid w:val="0090156C"/>
    <w:rsid w:val="009057BB"/>
    <w:rsid w:val="009101AF"/>
    <w:rsid w:val="00911070"/>
    <w:rsid w:val="0093609D"/>
    <w:rsid w:val="00942CFF"/>
    <w:rsid w:val="00943160"/>
    <w:rsid w:val="009456DA"/>
    <w:rsid w:val="00950E23"/>
    <w:rsid w:val="00954780"/>
    <w:rsid w:val="00972192"/>
    <w:rsid w:val="00986936"/>
    <w:rsid w:val="009874B5"/>
    <w:rsid w:val="00992757"/>
    <w:rsid w:val="009A0A3F"/>
    <w:rsid w:val="009C01A1"/>
    <w:rsid w:val="009C50A4"/>
    <w:rsid w:val="009E37AA"/>
    <w:rsid w:val="009E3CA6"/>
    <w:rsid w:val="009E7597"/>
    <w:rsid w:val="009F1084"/>
    <w:rsid w:val="009F153B"/>
    <w:rsid w:val="009F7A56"/>
    <w:rsid w:val="00A02DAC"/>
    <w:rsid w:val="00A0483E"/>
    <w:rsid w:val="00A129F1"/>
    <w:rsid w:val="00A172E4"/>
    <w:rsid w:val="00A212BA"/>
    <w:rsid w:val="00A24B53"/>
    <w:rsid w:val="00A3056F"/>
    <w:rsid w:val="00A41876"/>
    <w:rsid w:val="00A42E8C"/>
    <w:rsid w:val="00A442E1"/>
    <w:rsid w:val="00A70329"/>
    <w:rsid w:val="00A7436B"/>
    <w:rsid w:val="00A85295"/>
    <w:rsid w:val="00A97B21"/>
    <w:rsid w:val="00AA5943"/>
    <w:rsid w:val="00AB1BEA"/>
    <w:rsid w:val="00AB28A5"/>
    <w:rsid w:val="00AB5667"/>
    <w:rsid w:val="00AB6B71"/>
    <w:rsid w:val="00AC612F"/>
    <w:rsid w:val="00AE4818"/>
    <w:rsid w:val="00AE5169"/>
    <w:rsid w:val="00AF6F21"/>
    <w:rsid w:val="00AF7D58"/>
    <w:rsid w:val="00B003FE"/>
    <w:rsid w:val="00B0345F"/>
    <w:rsid w:val="00B03981"/>
    <w:rsid w:val="00B22439"/>
    <w:rsid w:val="00B226E0"/>
    <w:rsid w:val="00B26431"/>
    <w:rsid w:val="00B30BE7"/>
    <w:rsid w:val="00B3269B"/>
    <w:rsid w:val="00B33500"/>
    <w:rsid w:val="00B40A17"/>
    <w:rsid w:val="00B51F92"/>
    <w:rsid w:val="00B534BE"/>
    <w:rsid w:val="00B61C02"/>
    <w:rsid w:val="00B8082B"/>
    <w:rsid w:val="00B8420B"/>
    <w:rsid w:val="00B84245"/>
    <w:rsid w:val="00B92E15"/>
    <w:rsid w:val="00BA526A"/>
    <w:rsid w:val="00BB248E"/>
    <w:rsid w:val="00BC2C8A"/>
    <w:rsid w:val="00BD0045"/>
    <w:rsid w:val="00BD55CD"/>
    <w:rsid w:val="00BE1A9D"/>
    <w:rsid w:val="00BE245F"/>
    <w:rsid w:val="00BF074E"/>
    <w:rsid w:val="00BF5BA6"/>
    <w:rsid w:val="00C17C6B"/>
    <w:rsid w:val="00C17D66"/>
    <w:rsid w:val="00C20202"/>
    <w:rsid w:val="00C27798"/>
    <w:rsid w:val="00C50D2F"/>
    <w:rsid w:val="00C67976"/>
    <w:rsid w:val="00C7188E"/>
    <w:rsid w:val="00C81AAD"/>
    <w:rsid w:val="00C8227D"/>
    <w:rsid w:val="00C84581"/>
    <w:rsid w:val="00C95F63"/>
    <w:rsid w:val="00CB6708"/>
    <w:rsid w:val="00CB7799"/>
    <w:rsid w:val="00CC795C"/>
    <w:rsid w:val="00CD2293"/>
    <w:rsid w:val="00CD421D"/>
    <w:rsid w:val="00CD5B23"/>
    <w:rsid w:val="00CD6A76"/>
    <w:rsid w:val="00CD7501"/>
    <w:rsid w:val="00CE057F"/>
    <w:rsid w:val="00CE163A"/>
    <w:rsid w:val="00CE2721"/>
    <w:rsid w:val="00CF562E"/>
    <w:rsid w:val="00D050AA"/>
    <w:rsid w:val="00D22DA8"/>
    <w:rsid w:val="00D247A6"/>
    <w:rsid w:val="00D253CB"/>
    <w:rsid w:val="00D313EA"/>
    <w:rsid w:val="00D32652"/>
    <w:rsid w:val="00D37454"/>
    <w:rsid w:val="00D37FEC"/>
    <w:rsid w:val="00D45075"/>
    <w:rsid w:val="00D467C8"/>
    <w:rsid w:val="00D468BE"/>
    <w:rsid w:val="00D476BE"/>
    <w:rsid w:val="00D576E0"/>
    <w:rsid w:val="00D6276D"/>
    <w:rsid w:val="00D6511E"/>
    <w:rsid w:val="00D6548A"/>
    <w:rsid w:val="00D66985"/>
    <w:rsid w:val="00D70EC0"/>
    <w:rsid w:val="00D76F35"/>
    <w:rsid w:val="00D80DFE"/>
    <w:rsid w:val="00D8379C"/>
    <w:rsid w:val="00D875B6"/>
    <w:rsid w:val="00D92436"/>
    <w:rsid w:val="00D927CD"/>
    <w:rsid w:val="00D93D15"/>
    <w:rsid w:val="00D95939"/>
    <w:rsid w:val="00D97DBC"/>
    <w:rsid w:val="00DC3EB6"/>
    <w:rsid w:val="00DF0D05"/>
    <w:rsid w:val="00DF2965"/>
    <w:rsid w:val="00DF4453"/>
    <w:rsid w:val="00E0318C"/>
    <w:rsid w:val="00E050A6"/>
    <w:rsid w:val="00E23D98"/>
    <w:rsid w:val="00E54DF1"/>
    <w:rsid w:val="00E761BF"/>
    <w:rsid w:val="00E84D7A"/>
    <w:rsid w:val="00E90CA1"/>
    <w:rsid w:val="00E93C97"/>
    <w:rsid w:val="00EB44D8"/>
    <w:rsid w:val="00ED2B58"/>
    <w:rsid w:val="00ED5076"/>
    <w:rsid w:val="00EE54DA"/>
    <w:rsid w:val="00EE6261"/>
    <w:rsid w:val="00EF30E5"/>
    <w:rsid w:val="00F03EFC"/>
    <w:rsid w:val="00F059D8"/>
    <w:rsid w:val="00F066B3"/>
    <w:rsid w:val="00F124F7"/>
    <w:rsid w:val="00F15970"/>
    <w:rsid w:val="00F174ED"/>
    <w:rsid w:val="00F236A0"/>
    <w:rsid w:val="00F263AE"/>
    <w:rsid w:val="00F55162"/>
    <w:rsid w:val="00F63B21"/>
    <w:rsid w:val="00F720C7"/>
    <w:rsid w:val="00F72F57"/>
    <w:rsid w:val="00F87464"/>
    <w:rsid w:val="00F95C88"/>
    <w:rsid w:val="00F96FBA"/>
    <w:rsid w:val="00FA1969"/>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55647617">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1588</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93</cp:revision>
  <cp:lastPrinted>2016-03-07T10:06:00Z</cp:lastPrinted>
  <dcterms:created xsi:type="dcterms:W3CDTF">2018-01-04T10:45:00Z</dcterms:created>
  <dcterms:modified xsi:type="dcterms:W3CDTF">2018-01-08T09:46:00Z</dcterms:modified>
</cp:coreProperties>
</file>