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163" w:rsidRPr="00855163" w:rsidRDefault="00855163" w:rsidP="00855163">
      <w:pPr>
        <w:rPr>
          <w:rFonts w:ascii="Trebuchet MS" w:hAnsi="Trebuchet MS"/>
          <w:szCs w:val="18"/>
        </w:rPr>
      </w:pPr>
      <w:r w:rsidRPr="00855163">
        <w:rPr>
          <w:rFonts w:ascii="Trebuchet MS" w:hAnsi="Trebuchet MS"/>
          <w:szCs w:val="18"/>
        </w:rPr>
        <w:t>Ως Εκκαθάριση Παραγώγων μπορεί να ορισθεί η διαδικασία καταχώρησης, τήρησης θέσεων, διακανονισμού και υπολογισμού των περιθωρίων ασφάλισης των συναλλαγών που έχουν καταρτισθεί στην Αγορά Παραγώγων.</w:t>
      </w:r>
    </w:p>
    <w:p w:rsidR="00855163" w:rsidRPr="00855163" w:rsidRDefault="00855163" w:rsidP="00855163">
      <w:pPr>
        <w:rPr>
          <w:rFonts w:ascii="Trebuchet MS" w:hAnsi="Trebuchet MS"/>
          <w:szCs w:val="18"/>
        </w:rPr>
      </w:pPr>
      <w:r w:rsidRPr="00855163">
        <w:rPr>
          <w:rFonts w:ascii="Trebuchet MS" w:hAnsi="Trebuchet MS"/>
          <w:szCs w:val="18"/>
        </w:rPr>
        <w:t>Η λειτουργία της εκκαθάρισης χωρίζεται σε δύο διακριτές διαδικασίες που διεξάγονται ταυτόχρονα σε ημερήσια βάση και είναι:</w:t>
      </w:r>
    </w:p>
    <w:p w:rsidR="00855163" w:rsidRPr="00855163" w:rsidRDefault="00855163" w:rsidP="00855163">
      <w:pPr>
        <w:numPr>
          <w:ilvl w:val="0"/>
          <w:numId w:val="2"/>
        </w:numPr>
        <w:rPr>
          <w:rFonts w:ascii="Trebuchet MS" w:hAnsi="Trebuchet MS"/>
          <w:szCs w:val="18"/>
        </w:rPr>
      </w:pPr>
      <w:r w:rsidRPr="00855163">
        <w:rPr>
          <w:rFonts w:ascii="Trebuchet MS" w:hAnsi="Trebuchet MS"/>
          <w:szCs w:val="18"/>
        </w:rPr>
        <w:t>Η διαδικασία ημερήσιου διακανονισμού (χρηματικού και τίτλων) και καταβολής προμηθειών υπέρ Χ.Α. και ΕΤ.ΕΚ.</w:t>
      </w:r>
    </w:p>
    <w:p w:rsidR="00855163" w:rsidRPr="00855163" w:rsidRDefault="00855163" w:rsidP="00855163">
      <w:pPr>
        <w:numPr>
          <w:ilvl w:val="0"/>
          <w:numId w:val="2"/>
        </w:numPr>
        <w:rPr>
          <w:rFonts w:ascii="Trebuchet MS" w:hAnsi="Trebuchet MS"/>
          <w:szCs w:val="18"/>
        </w:rPr>
      </w:pPr>
      <w:r w:rsidRPr="00855163">
        <w:rPr>
          <w:rFonts w:ascii="Trebuchet MS" w:hAnsi="Trebuchet MS"/>
          <w:szCs w:val="18"/>
        </w:rPr>
        <w:t>Διαδικασία ελέγχου των περιθωρίων ασφάλισης.</w:t>
      </w:r>
    </w:p>
    <w:p w:rsidR="00855163" w:rsidRPr="00855163" w:rsidRDefault="00855163" w:rsidP="00855163">
      <w:pPr>
        <w:rPr>
          <w:rFonts w:ascii="Trebuchet MS" w:hAnsi="Trebuchet MS"/>
          <w:szCs w:val="18"/>
        </w:rPr>
      </w:pPr>
      <w:r w:rsidRPr="00855163">
        <w:rPr>
          <w:rFonts w:ascii="Trebuchet MS" w:hAnsi="Trebuchet MS"/>
          <w:szCs w:val="18"/>
        </w:rPr>
        <w:t>Η Εκκαθάριση Παραγώγων της Ελληνικής Αγοράς Παραγώγων διενεργείται σε επίπεδο τελικού επενδυτή (</w:t>
      </w:r>
      <w:r w:rsidRPr="00855163">
        <w:rPr>
          <w:rFonts w:ascii="Trebuchet MS" w:hAnsi="Trebuchet MS"/>
          <w:szCs w:val="18"/>
          <w:lang w:val="en-US"/>
        </w:rPr>
        <w:t>end</w:t>
      </w:r>
      <w:r w:rsidRPr="00855163">
        <w:rPr>
          <w:rFonts w:ascii="Trebuchet MS" w:hAnsi="Trebuchet MS"/>
          <w:szCs w:val="18"/>
        </w:rPr>
        <w:t xml:space="preserve"> </w:t>
      </w:r>
      <w:r w:rsidRPr="00855163">
        <w:rPr>
          <w:rFonts w:ascii="Trebuchet MS" w:hAnsi="Trebuchet MS"/>
          <w:szCs w:val="18"/>
          <w:lang w:val="en-US"/>
        </w:rPr>
        <w:t>client</w:t>
      </w:r>
      <w:r w:rsidRPr="00855163">
        <w:rPr>
          <w:rFonts w:ascii="Trebuchet MS" w:hAnsi="Trebuchet MS"/>
          <w:szCs w:val="18"/>
        </w:rPr>
        <w:t>) όσον αφορά στον ημερήσιο διακανονισμό των τίτλων και στην τήρηση των περιθωρίων ασφάλειας και σε επίπεδο Μέλους όσον αφορά στον ημερήσιο χρηματικό διακανονισμό και την καταβολή προμηθειών.</w:t>
      </w:r>
    </w:p>
    <w:p w:rsidR="00855163" w:rsidRPr="00855163" w:rsidRDefault="00855163" w:rsidP="00855163">
      <w:pPr>
        <w:rPr>
          <w:rFonts w:ascii="Trebuchet MS" w:hAnsi="Trebuchet MS"/>
          <w:szCs w:val="18"/>
        </w:rPr>
      </w:pPr>
      <w:r w:rsidRPr="00855163">
        <w:rPr>
          <w:rFonts w:ascii="Trebuchet MS" w:hAnsi="Trebuchet MS"/>
          <w:szCs w:val="18"/>
        </w:rPr>
        <w:t xml:space="preserve">Ο όρος Εκκαθάριση αναφέρεται τόσο στη συνολική διαδικασία της κάθε αυτού εκκαθάρισης (διακανονισμός) όσο και στην παράδοση-παραλαβή τίτλων που προκύπτουν από τις προς εκκαθάριση συναλλαγές. Η διαδικασία αυτή διέπεται από την </w:t>
      </w:r>
      <w:r w:rsidRPr="00855163">
        <w:rPr>
          <w:rFonts w:ascii="Trebuchet MS" w:hAnsi="Trebuchet MS"/>
          <w:b/>
          <w:szCs w:val="18"/>
        </w:rPr>
        <w:t>αρχή της παράδοσης επί πληρωμή (</w:t>
      </w:r>
      <w:r w:rsidRPr="00855163">
        <w:rPr>
          <w:rFonts w:ascii="Trebuchet MS" w:hAnsi="Trebuchet MS"/>
          <w:b/>
          <w:szCs w:val="18"/>
          <w:lang w:val="en-US"/>
        </w:rPr>
        <w:t>delivery</w:t>
      </w:r>
      <w:r w:rsidRPr="00855163">
        <w:rPr>
          <w:rFonts w:ascii="Trebuchet MS" w:hAnsi="Trebuchet MS"/>
          <w:b/>
          <w:szCs w:val="18"/>
        </w:rPr>
        <w:t xml:space="preserve"> </w:t>
      </w:r>
      <w:r w:rsidRPr="00855163">
        <w:rPr>
          <w:rFonts w:ascii="Trebuchet MS" w:hAnsi="Trebuchet MS"/>
          <w:b/>
          <w:szCs w:val="18"/>
          <w:lang w:val="en-US"/>
        </w:rPr>
        <w:t>versus</w:t>
      </w:r>
      <w:r w:rsidRPr="00855163">
        <w:rPr>
          <w:rFonts w:ascii="Trebuchet MS" w:hAnsi="Trebuchet MS"/>
          <w:b/>
          <w:szCs w:val="18"/>
        </w:rPr>
        <w:t xml:space="preserve"> </w:t>
      </w:r>
      <w:r w:rsidRPr="00855163">
        <w:rPr>
          <w:rFonts w:ascii="Trebuchet MS" w:hAnsi="Trebuchet MS"/>
          <w:b/>
          <w:szCs w:val="18"/>
          <w:lang w:val="en-US"/>
        </w:rPr>
        <w:t>payment</w:t>
      </w:r>
      <w:r w:rsidRPr="00855163">
        <w:rPr>
          <w:rFonts w:ascii="Trebuchet MS" w:hAnsi="Trebuchet MS"/>
          <w:b/>
          <w:szCs w:val="18"/>
        </w:rPr>
        <w:t>)</w:t>
      </w:r>
      <w:r w:rsidRPr="00855163">
        <w:rPr>
          <w:rFonts w:ascii="Trebuchet MS" w:hAnsi="Trebuchet MS"/>
          <w:szCs w:val="18"/>
        </w:rPr>
        <w:t xml:space="preserve"> όπου η μεταφορά των τίτλων και οι αντίστοιχες πληρωμές γίνονται ταυτόχρονα.</w:t>
      </w:r>
    </w:p>
    <w:p w:rsidR="00855163" w:rsidRPr="00855163" w:rsidRDefault="00855163" w:rsidP="00855163">
      <w:pPr>
        <w:rPr>
          <w:rFonts w:ascii="Trebuchet MS" w:hAnsi="Trebuchet MS"/>
          <w:szCs w:val="18"/>
        </w:rPr>
      </w:pPr>
      <w:r w:rsidRPr="00855163">
        <w:rPr>
          <w:rFonts w:ascii="Trebuchet MS" w:hAnsi="Trebuchet MS"/>
          <w:szCs w:val="18"/>
        </w:rPr>
        <w:t>Η Εκκαθάριση των συναλλαγών επί Παραγώγων στην Ελληνική Αγορά διενεργείται από την ΕΤ.ΕΚ. Η ΕΤ.ΕΚ.</w:t>
      </w:r>
      <w:r w:rsidR="003C5648" w:rsidRPr="003C5648">
        <w:rPr>
          <w:rFonts w:ascii="Trebuchet MS" w:hAnsi="Trebuchet MS"/>
          <w:szCs w:val="18"/>
        </w:rPr>
        <w:t xml:space="preserve"> </w:t>
      </w:r>
      <w:bookmarkStart w:id="0" w:name="_GoBack"/>
      <w:bookmarkEnd w:id="0"/>
      <w:r>
        <w:rPr>
          <w:rFonts w:ascii="Trebuchet MS" w:hAnsi="Trebuchet MS"/>
          <w:szCs w:val="18"/>
        </w:rPr>
        <w:t>ε</w:t>
      </w:r>
      <w:r w:rsidRPr="00855163">
        <w:rPr>
          <w:rFonts w:ascii="Trebuchet MS" w:hAnsi="Trebuchet MS"/>
          <w:szCs w:val="18"/>
        </w:rPr>
        <w:t>ίναι ο Εκκαθαριστικός Οίκος και έχει το ρόλο του Κεντρικού Αντισυμβαλλόμενου σε κάθε πράξη που διενεργείται στην Αγορά Παραγώγων του Χ.Α.</w:t>
      </w:r>
    </w:p>
    <w:p w:rsidR="00855163" w:rsidRPr="00855163" w:rsidRDefault="00855163" w:rsidP="00855163">
      <w:pPr>
        <w:rPr>
          <w:rFonts w:ascii="Trebuchet MS" w:hAnsi="Trebuchet MS"/>
          <w:szCs w:val="18"/>
        </w:rPr>
      </w:pPr>
      <w:r w:rsidRPr="00855163">
        <w:rPr>
          <w:rFonts w:ascii="Trebuchet MS" w:hAnsi="Trebuchet MS"/>
          <w:szCs w:val="18"/>
        </w:rPr>
        <w:t>Ο πρωταρχικός ρόλος της ΕΤ.ΕΚ. είναι να αποτελεί εγγυητή όλων των πράξεων  που διενεργούνται στο Χ.Α. και να δρα ως αντισυμβαλλόμενος σε κάθε συναλλαγή. Λειτουργεί δηλαδή ως αγοραστής έναντι στον πωλητή και ως πωλητής έναντι στον αγοραστή από τη στιγμή που καταχωρείται μία πράξη στο σύστημα.</w:t>
      </w:r>
    </w:p>
    <w:p w:rsidR="00855163" w:rsidRPr="00855163" w:rsidRDefault="00855163" w:rsidP="00855163">
      <w:pPr>
        <w:rPr>
          <w:rFonts w:ascii="Trebuchet MS" w:hAnsi="Trebuchet MS"/>
          <w:szCs w:val="18"/>
        </w:rPr>
      </w:pPr>
      <w:r w:rsidRPr="00855163">
        <w:rPr>
          <w:rFonts w:ascii="Trebuchet MS" w:hAnsi="Trebuchet MS"/>
          <w:szCs w:val="18"/>
        </w:rPr>
        <w:t>Σκοπός της ΕΤ.ΕΚ. είναι να θέτει τους κανόνες της εκκαθάρισης όλων των πράξεων της Αγοράς Παραγώγων και να παρακολουθεί την τήρηση των υποχρεώσεων των Τελικών Επενδυτών και των Μελών. Σε περίπτωση αθέτησης των υποχρεώσεων, ενεργοποιεί τις σχετικές διαδικασίες προκειμένου να διαφυλάξει την οικονομική ακεραιότητα των Μελών, των Τελικών επενδυτών αλλά και της ίδιας της ΕΤ.ΕΚ., ενώ όποτε χρειάζεται παρέχει πληροφορίες για την εκκαθάριση.</w:t>
      </w:r>
    </w:p>
    <w:p w:rsidR="00855163" w:rsidRPr="00855163" w:rsidRDefault="00855163" w:rsidP="00855163">
      <w:pPr>
        <w:rPr>
          <w:rFonts w:ascii="Trebuchet MS" w:hAnsi="Trebuchet MS"/>
          <w:szCs w:val="18"/>
        </w:rPr>
      </w:pPr>
      <w:r w:rsidRPr="00855163">
        <w:rPr>
          <w:rFonts w:ascii="Trebuchet MS" w:hAnsi="Trebuchet MS"/>
          <w:szCs w:val="18"/>
        </w:rPr>
        <w:t>Επίσης, παρακολουθεί, αναλύει και υπολογίζει όλους τους πιθανούς κινδύνους και δημιουργεί τις απαραίτητες εκείνες διαδικασίες, τεχνικές και μηχανισμούς παρακολούθησης για τον έλεγχο των κινδύνων αυτών ανά πάσα στιγμή.</w:t>
      </w:r>
    </w:p>
    <w:p w:rsidR="00855163" w:rsidRPr="00855163" w:rsidRDefault="00855163" w:rsidP="00855163">
      <w:pPr>
        <w:rPr>
          <w:rFonts w:ascii="Trebuchet MS" w:hAnsi="Trebuchet MS"/>
          <w:szCs w:val="18"/>
        </w:rPr>
      </w:pPr>
      <w:r w:rsidRPr="00855163">
        <w:rPr>
          <w:rFonts w:ascii="Trebuchet MS" w:hAnsi="Trebuchet MS"/>
          <w:szCs w:val="18"/>
        </w:rPr>
        <w:t>Τέλος, έχει ως στόχο να υποστηρίζει τους βασικούς συμμετέχοντες στην Αγορά Παραγώγων, οι οποίοι είναι:</w:t>
      </w:r>
    </w:p>
    <w:p w:rsidR="00855163" w:rsidRPr="00855163" w:rsidRDefault="00855163" w:rsidP="00855163">
      <w:pPr>
        <w:numPr>
          <w:ilvl w:val="0"/>
          <w:numId w:val="3"/>
        </w:numPr>
        <w:rPr>
          <w:rFonts w:ascii="Trebuchet MS" w:hAnsi="Trebuchet MS"/>
          <w:szCs w:val="18"/>
        </w:rPr>
      </w:pPr>
      <w:r w:rsidRPr="00855163">
        <w:rPr>
          <w:rFonts w:ascii="Trebuchet MS" w:hAnsi="Trebuchet MS"/>
          <w:szCs w:val="18"/>
        </w:rPr>
        <w:t>Τα Εκκαθαριστικά Μέλη της ΕΤ.ΕΚ.</w:t>
      </w:r>
    </w:p>
    <w:p w:rsidR="00855163" w:rsidRPr="00855163" w:rsidRDefault="00855163" w:rsidP="00855163">
      <w:pPr>
        <w:numPr>
          <w:ilvl w:val="0"/>
          <w:numId w:val="3"/>
        </w:numPr>
        <w:rPr>
          <w:rFonts w:ascii="Trebuchet MS" w:hAnsi="Trebuchet MS"/>
          <w:szCs w:val="18"/>
        </w:rPr>
      </w:pPr>
      <w:r w:rsidRPr="00855163">
        <w:rPr>
          <w:rFonts w:ascii="Trebuchet MS" w:hAnsi="Trebuchet MS"/>
          <w:szCs w:val="18"/>
          <w:lang w:val="en-US"/>
        </w:rPr>
        <w:t>E</w:t>
      </w:r>
      <w:r w:rsidRPr="00855163">
        <w:rPr>
          <w:rFonts w:ascii="Trebuchet MS" w:hAnsi="Trebuchet MS"/>
          <w:szCs w:val="18"/>
        </w:rPr>
        <w:t>.Χ.Α.Ε. ως διαχειριστής του Σ.Α.Τ.</w:t>
      </w:r>
    </w:p>
    <w:p w:rsidR="00855163" w:rsidRPr="00855163" w:rsidRDefault="00855163" w:rsidP="00855163">
      <w:pPr>
        <w:numPr>
          <w:ilvl w:val="0"/>
          <w:numId w:val="3"/>
        </w:numPr>
        <w:rPr>
          <w:rFonts w:ascii="Trebuchet MS" w:hAnsi="Trebuchet MS"/>
          <w:szCs w:val="18"/>
        </w:rPr>
      </w:pPr>
      <w:r w:rsidRPr="00855163">
        <w:rPr>
          <w:rFonts w:ascii="Trebuchet MS" w:hAnsi="Trebuchet MS"/>
          <w:szCs w:val="18"/>
        </w:rPr>
        <w:t>Οι Τράπεζες Τήρησης Περιθωρίου Ασφάλισης.</w:t>
      </w:r>
    </w:p>
    <w:p w:rsidR="00855163" w:rsidRPr="00855163" w:rsidRDefault="00855163" w:rsidP="00855163">
      <w:pPr>
        <w:numPr>
          <w:ilvl w:val="0"/>
          <w:numId w:val="3"/>
        </w:numPr>
        <w:rPr>
          <w:rFonts w:ascii="Trebuchet MS" w:hAnsi="Trebuchet MS"/>
          <w:szCs w:val="18"/>
        </w:rPr>
      </w:pPr>
      <w:r w:rsidRPr="00855163">
        <w:rPr>
          <w:rFonts w:ascii="Trebuchet MS" w:hAnsi="Trebuchet MS"/>
          <w:szCs w:val="18"/>
        </w:rPr>
        <w:t>Η Τράπεζα της Ελλάδος (Τράπεζα Διακανονισμού, Φορέας Ομολόγων)</w:t>
      </w:r>
    </w:p>
    <w:p w:rsidR="00855163" w:rsidRPr="00855163" w:rsidRDefault="00855163" w:rsidP="00855163">
      <w:pPr>
        <w:numPr>
          <w:ilvl w:val="0"/>
          <w:numId w:val="3"/>
        </w:numPr>
        <w:rPr>
          <w:rFonts w:ascii="Trebuchet MS" w:hAnsi="Trebuchet MS"/>
          <w:szCs w:val="18"/>
        </w:rPr>
      </w:pPr>
      <w:r w:rsidRPr="00855163">
        <w:rPr>
          <w:rFonts w:ascii="Trebuchet MS" w:hAnsi="Trebuchet MS"/>
          <w:szCs w:val="18"/>
        </w:rPr>
        <w:t>Οι Επενδυτές.</w:t>
      </w:r>
    </w:p>
    <w:p w:rsidR="00855163" w:rsidRPr="00855163" w:rsidRDefault="00855163" w:rsidP="00855163">
      <w:pPr>
        <w:rPr>
          <w:rFonts w:ascii="Trebuchet MS" w:hAnsi="Trebuchet MS"/>
          <w:szCs w:val="18"/>
        </w:rPr>
      </w:pPr>
    </w:p>
    <w:p w:rsidR="00855163" w:rsidRPr="00855163" w:rsidRDefault="00855163" w:rsidP="00855163">
      <w:pPr>
        <w:rPr>
          <w:rFonts w:ascii="Trebuchet MS" w:hAnsi="Trebuchet MS"/>
          <w:szCs w:val="18"/>
        </w:rPr>
      </w:pPr>
      <w:r w:rsidRPr="00855163">
        <w:rPr>
          <w:rFonts w:ascii="Trebuchet MS" w:hAnsi="Trebuchet MS"/>
          <w:szCs w:val="18"/>
        </w:rPr>
        <w:t>Συνοψίζοντας, από την στιγμή που θα πραγματοποιηθεί μία συναλλαγή στην Αγορά Παραγώγων του Χ.Α., η ΕΤ.ΕΚ. έχει να διεκπεραιώσει τέσσερις λειτουργίες:</w:t>
      </w:r>
    </w:p>
    <w:p w:rsidR="00855163" w:rsidRPr="00855163" w:rsidRDefault="00855163" w:rsidP="00855163">
      <w:pPr>
        <w:numPr>
          <w:ilvl w:val="0"/>
          <w:numId w:val="4"/>
        </w:numPr>
        <w:rPr>
          <w:rFonts w:ascii="Trebuchet MS" w:hAnsi="Trebuchet MS"/>
          <w:szCs w:val="18"/>
        </w:rPr>
      </w:pPr>
      <w:r w:rsidRPr="00855163">
        <w:rPr>
          <w:rFonts w:ascii="Trebuchet MS" w:hAnsi="Trebuchet MS"/>
          <w:szCs w:val="18"/>
        </w:rPr>
        <w:t>Να καταγράψει τη συναλλαγή.</w:t>
      </w:r>
    </w:p>
    <w:p w:rsidR="00855163" w:rsidRPr="00855163" w:rsidRDefault="00855163" w:rsidP="00855163">
      <w:pPr>
        <w:numPr>
          <w:ilvl w:val="0"/>
          <w:numId w:val="4"/>
        </w:numPr>
        <w:rPr>
          <w:rFonts w:ascii="Trebuchet MS" w:hAnsi="Trebuchet MS"/>
          <w:szCs w:val="18"/>
        </w:rPr>
      </w:pPr>
      <w:r w:rsidRPr="00855163">
        <w:rPr>
          <w:rFonts w:ascii="Trebuchet MS" w:hAnsi="Trebuchet MS"/>
          <w:szCs w:val="18"/>
        </w:rPr>
        <w:t>Να εκκαθαρίσει τη συναλλαγή.</w:t>
      </w:r>
    </w:p>
    <w:p w:rsidR="00855163" w:rsidRPr="00855163" w:rsidRDefault="00855163" w:rsidP="00855163">
      <w:pPr>
        <w:numPr>
          <w:ilvl w:val="0"/>
          <w:numId w:val="4"/>
        </w:numPr>
        <w:ind w:right="-289"/>
        <w:rPr>
          <w:rFonts w:ascii="Trebuchet MS" w:hAnsi="Trebuchet MS"/>
          <w:szCs w:val="18"/>
        </w:rPr>
      </w:pPr>
      <w:r w:rsidRPr="00855163">
        <w:rPr>
          <w:rFonts w:ascii="Trebuchet MS" w:hAnsi="Trebuchet MS"/>
          <w:szCs w:val="18"/>
        </w:rPr>
        <w:t>Να υπολογίσει το περιθώριο ασφάλισης που θα πρέπει να δεσμεύσει από τους επενδυτές.</w:t>
      </w:r>
    </w:p>
    <w:p w:rsidR="00855163" w:rsidRPr="00855163" w:rsidRDefault="00855163" w:rsidP="00855163">
      <w:pPr>
        <w:numPr>
          <w:ilvl w:val="0"/>
          <w:numId w:val="4"/>
        </w:numPr>
        <w:ind w:right="-289"/>
        <w:rPr>
          <w:rFonts w:ascii="Trebuchet MS" w:hAnsi="Trebuchet MS"/>
          <w:szCs w:val="18"/>
        </w:rPr>
      </w:pPr>
      <w:r w:rsidRPr="00855163">
        <w:rPr>
          <w:rFonts w:ascii="Trebuchet MS" w:hAnsi="Trebuchet MS"/>
          <w:szCs w:val="18"/>
        </w:rPr>
        <w:t>Να διακανονίσει τις υποχρεώσεις των συμβολαίων.</w:t>
      </w:r>
    </w:p>
    <w:p w:rsidR="00855163" w:rsidRPr="00855163" w:rsidRDefault="00855163" w:rsidP="00855163">
      <w:pPr>
        <w:ind w:right="-289"/>
        <w:rPr>
          <w:rFonts w:ascii="Trebuchet MS" w:hAnsi="Trebuchet MS"/>
          <w:szCs w:val="18"/>
        </w:rPr>
      </w:pPr>
    </w:p>
    <w:p w:rsidR="00855163" w:rsidRPr="00855163" w:rsidRDefault="00855163" w:rsidP="00855163">
      <w:pPr>
        <w:ind w:right="-289"/>
        <w:rPr>
          <w:rFonts w:ascii="Trebuchet MS" w:hAnsi="Trebuchet MS"/>
          <w:szCs w:val="18"/>
        </w:rPr>
      </w:pPr>
    </w:p>
    <w:p w:rsidR="00855163" w:rsidRPr="00855163" w:rsidRDefault="00855163" w:rsidP="00855163">
      <w:pPr>
        <w:ind w:right="-289"/>
        <w:rPr>
          <w:rFonts w:ascii="Trebuchet MS" w:hAnsi="Trebuchet MS"/>
          <w:szCs w:val="18"/>
        </w:rPr>
      </w:pPr>
      <w:r w:rsidRPr="00855163">
        <w:rPr>
          <w:rFonts w:ascii="Trebuchet MS" w:hAnsi="Trebuchet MS"/>
          <w:szCs w:val="18"/>
        </w:rPr>
        <w:object w:dxaOrig="9060" w:dyaOrig="14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74pt" o:ole="">
            <v:imagedata r:id="rId6" o:title=""/>
          </v:shape>
          <o:OLEObject Type="Embed" ProgID="Visio.Drawing.11" ShapeID="_x0000_i1025" DrawAspect="Content" ObjectID="_1432456781" r:id="rId7"/>
        </w:object>
      </w:r>
    </w:p>
    <w:p w:rsidR="00855163" w:rsidRPr="00855163" w:rsidRDefault="00855163" w:rsidP="00855163">
      <w:pPr>
        <w:pStyle w:val="Caption"/>
        <w:rPr>
          <w:rFonts w:ascii="Trebuchet MS" w:hAnsi="Trebuchet MS"/>
          <w:szCs w:val="18"/>
        </w:rPr>
      </w:pPr>
      <w:bookmarkStart w:id="1" w:name="_Toc271015119"/>
      <w:r w:rsidRPr="00855163">
        <w:rPr>
          <w:rFonts w:ascii="Trebuchet MS" w:hAnsi="Trebuchet MS"/>
          <w:szCs w:val="18"/>
        </w:rPr>
        <w:t xml:space="preserve">Σχήμα </w:t>
      </w:r>
      <w:r w:rsidRPr="00855163">
        <w:rPr>
          <w:rFonts w:ascii="Trebuchet MS" w:hAnsi="Trebuchet MS"/>
          <w:szCs w:val="18"/>
        </w:rPr>
        <w:fldChar w:fldCharType="begin"/>
      </w:r>
      <w:r w:rsidRPr="00855163">
        <w:rPr>
          <w:rFonts w:ascii="Trebuchet MS" w:hAnsi="Trebuchet MS"/>
          <w:szCs w:val="18"/>
        </w:rPr>
        <w:instrText xml:space="preserve"> STYLEREF 1 \s </w:instrText>
      </w:r>
      <w:r w:rsidRPr="00855163">
        <w:rPr>
          <w:rFonts w:ascii="Trebuchet MS" w:hAnsi="Trebuchet MS"/>
          <w:szCs w:val="18"/>
        </w:rPr>
        <w:fldChar w:fldCharType="separate"/>
      </w:r>
      <w:r w:rsidRPr="00855163">
        <w:rPr>
          <w:rFonts w:ascii="Trebuchet MS" w:hAnsi="Trebuchet MS"/>
          <w:noProof/>
          <w:szCs w:val="18"/>
        </w:rPr>
        <w:t>5</w:t>
      </w:r>
      <w:r w:rsidRPr="00855163">
        <w:rPr>
          <w:rFonts w:ascii="Trebuchet MS" w:hAnsi="Trebuchet MS"/>
          <w:szCs w:val="18"/>
        </w:rPr>
        <w:fldChar w:fldCharType="end"/>
      </w:r>
      <w:r w:rsidRPr="00855163">
        <w:rPr>
          <w:rFonts w:ascii="Trebuchet MS" w:hAnsi="Trebuchet MS"/>
          <w:szCs w:val="18"/>
        </w:rPr>
        <w:noBreakHyphen/>
      </w:r>
      <w:r w:rsidRPr="00855163">
        <w:rPr>
          <w:rFonts w:ascii="Trebuchet MS" w:hAnsi="Trebuchet MS"/>
          <w:szCs w:val="18"/>
        </w:rPr>
        <w:fldChar w:fldCharType="begin"/>
      </w:r>
      <w:r w:rsidRPr="00855163">
        <w:rPr>
          <w:rFonts w:ascii="Trebuchet MS" w:hAnsi="Trebuchet MS"/>
          <w:szCs w:val="18"/>
        </w:rPr>
        <w:instrText xml:space="preserve"> SEQ Σχήμα \* ARABIC \s 1 </w:instrText>
      </w:r>
      <w:r w:rsidRPr="00855163">
        <w:rPr>
          <w:rFonts w:ascii="Trebuchet MS" w:hAnsi="Trebuchet MS"/>
          <w:szCs w:val="18"/>
        </w:rPr>
        <w:fldChar w:fldCharType="separate"/>
      </w:r>
      <w:r w:rsidRPr="00855163">
        <w:rPr>
          <w:rFonts w:ascii="Trebuchet MS" w:hAnsi="Trebuchet MS"/>
          <w:noProof/>
          <w:szCs w:val="18"/>
        </w:rPr>
        <w:t>1</w:t>
      </w:r>
      <w:r w:rsidRPr="00855163">
        <w:rPr>
          <w:rFonts w:ascii="Trebuchet MS" w:hAnsi="Trebuchet MS"/>
          <w:szCs w:val="18"/>
        </w:rPr>
        <w:fldChar w:fldCharType="end"/>
      </w:r>
      <w:r w:rsidRPr="00855163">
        <w:rPr>
          <w:rFonts w:ascii="Trebuchet MS" w:hAnsi="Trebuchet MS"/>
          <w:szCs w:val="18"/>
        </w:rPr>
        <w:t>: Ρόλος ΕΤ.ΕΚ.</w:t>
      </w:r>
      <w:bookmarkEnd w:id="1"/>
    </w:p>
    <w:p w:rsidR="00920899" w:rsidRPr="00855163" w:rsidRDefault="00920899">
      <w:pPr>
        <w:rPr>
          <w:rFonts w:ascii="Trebuchet MS" w:hAnsi="Trebuchet MS"/>
          <w:szCs w:val="18"/>
        </w:rPr>
      </w:pPr>
    </w:p>
    <w:sectPr w:rsidR="00920899" w:rsidRPr="0085516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rebuchet MS">
    <w:panose1 w:val="020B0603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44000"/>
    <w:multiLevelType w:val="hybridMultilevel"/>
    <w:tmpl w:val="FE84BAD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
    <w:nsid w:val="161319AF"/>
    <w:multiLevelType w:val="multilevel"/>
    <w:tmpl w:val="116231B0"/>
    <w:lvl w:ilvl="0">
      <w:start w:val="1"/>
      <w:numFmt w:val="decimal"/>
      <w:pStyle w:val="Heading1"/>
      <w:lvlText w:val="%1. "/>
      <w:lvlJc w:val="left"/>
      <w:pPr>
        <w:tabs>
          <w:tab w:val="num" w:pos="432"/>
        </w:tabs>
        <w:ind w:left="432" w:hanging="432"/>
      </w:pPr>
    </w:lvl>
    <w:lvl w:ilvl="1">
      <w:start w:val="1"/>
      <w:numFmt w:val="decimal"/>
      <w:pStyle w:val="Heading2"/>
      <w:lvlText w:val="%1.%2"/>
      <w:lvlJc w:val="left"/>
      <w:pPr>
        <w:tabs>
          <w:tab w:val="num" w:pos="936"/>
        </w:tabs>
        <w:ind w:left="936" w:hanging="576"/>
      </w:pPr>
      <w:rPr>
        <w:rFonts w:ascii="Verdana" w:eastAsia="Times New Roman" w:hAnsi="Verdana" w:cs="Times New Roman" w:hint="default"/>
        <w:sz w:val="32"/>
      </w:rPr>
    </w:lvl>
    <w:lvl w:ilvl="2">
      <w:start w:val="1"/>
      <w:numFmt w:val="decimal"/>
      <w:pStyle w:val="Heading3"/>
      <w:lvlText w:val="%1.%2.%3"/>
      <w:lvlJc w:val="left"/>
      <w:pPr>
        <w:tabs>
          <w:tab w:val="num" w:pos="1571"/>
        </w:tabs>
        <w:ind w:left="1571" w:hanging="720"/>
      </w:pPr>
    </w:lvl>
    <w:lvl w:ilvl="3">
      <w:start w:val="1"/>
      <w:numFmt w:val="decimal"/>
      <w:pStyle w:val="Heading4"/>
      <w:lvlText w:val="%1.%2.%3.%4"/>
      <w:lvlJc w:val="left"/>
      <w:pPr>
        <w:tabs>
          <w:tab w:val="num" w:pos="1764"/>
        </w:tabs>
        <w:ind w:left="17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nsid w:val="35B51ECC"/>
    <w:multiLevelType w:val="hybridMultilevel"/>
    <w:tmpl w:val="72AA4464"/>
    <w:lvl w:ilvl="0" w:tplc="04080001">
      <w:start w:val="1"/>
      <w:numFmt w:val="bullet"/>
      <w:lvlText w:val=""/>
      <w:lvlJc w:val="left"/>
      <w:pPr>
        <w:tabs>
          <w:tab w:val="num" w:pos="840"/>
        </w:tabs>
        <w:ind w:left="840" w:hanging="360"/>
      </w:pPr>
      <w:rPr>
        <w:rFonts w:ascii="Symbol" w:hAnsi="Symbol" w:hint="default"/>
      </w:rPr>
    </w:lvl>
    <w:lvl w:ilvl="1" w:tplc="04080003">
      <w:start w:val="1"/>
      <w:numFmt w:val="bullet"/>
      <w:lvlText w:val="o"/>
      <w:lvlJc w:val="left"/>
      <w:pPr>
        <w:tabs>
          <w:tab w:val="num" w:pos="1560"/>
        </w:tabs>
        <w:ind w:left="1560" w:hanging="360"/>
      </w:pPr>
      <w:rPr>
        <w:rFonts w:ascii="Courier New" w:hAnsi="Courier New" w:cs="Courier New" w:hint="default"/>
      </w:rPr>
    </w:lvl>
    <w:lvl w:ilvl="2" w:tplc="04080005">
      <w:start w:val="1"/>
      <w:numFmt w:val="bullet"/>
      <w:lvlText w:val=""/>
      <w:lvlJc w:val="left"/>
      <w:pPr>
        <w:tabs>
          <w:tab w:val="num" w:pos="2280"/>
        </w:tabs>
        <w:ind w:left="2280" w:hanging="360"/>
      </w:pPr>
      <w:rPr>
        <w:rFonts w:ascii="Wingdings" w:hAnsi="Wingdings" w:hint="default"/>
      </w:rPr>
    </w:lvl>
    <w:lvl w:ilvl="3" w:tplc="04080001">
      <w:start w:val="1"/>
      <w:numFmt w:val="bullet"/>
      <w:lvlText w:val=""/>
      <w:lvlJc w:val="left"/>
      <w:pPr>
        <w:tabs>
          <w:tab w:val="num" w:pos="3000"/>
        </w:tabs>
        <w:ind w:left="3000" w:hanging="360"/>
      </w:pPr>
      <w:rPr>
        <w:rFonts w:ascii="Symbol" w:hAnsi="Symbol" w:hint="default"/>
      </w:rPr>
    </w:lvl>
    <w:lvl w:ilvl="4" w:tplc="04080003">
      <w:start w:val="1"/>
      <w:numFmt w:val="bullet"/>
      <w:lvlText w:val="o"/>
      <w:lvlJc w:val="left"/>
      <w:pPr>
        <w:tabs>
          <w:tab w:val="num" w:pos="3720"/>
        </w:tabs>
        <w:ind w:left="3720" w:hanging="360"/>
      </w:pPr>
      <w:rPr>
        <w:rFonts w:ascii="Courier New" w:hAnsi="Courier New" w:cs="Courier New" w:hint="default"/>
      </w:rPr>
    </w:lvl>
    <w:lvl w:ilvl="5" w:tplc="04080005">
      <w:start w:val="1"/>
      <w:numFmt w:val="bullet"/>
      <w:lvlText w:val=""/>
      <w:lvlJc w:val="left"/>
      <w:pPr>
        <w:tabs>
          <w:tab w:val="num" w:pos="4440"/>
        </w:tabs>
        <w:ind w:left="4440" w:hanging="360"/>
      </w:pPr>
      <w:rPr>
        <w:rFonts w:ascii="Wingdings" w:hAnsi="Wingdings" w:hint="default"/>
      </w:rPr>
    </w:lvl>
    <w:lvl w:ilvl="6" w:tplc="04080001">
      <w:start w:val="1"/>
      <w:numFmt w:val="bullet"/>
      <w:lvlText w:val=""/>
      <w:lvlJc w:val="left"/>
      <w:pPr>
        <w:tabs>
          <w:tab w:val="num" w:pos="5160"/>
        </w:tabs>
        <w:ind w:left="5160" w:hanging="360"/>
      </w:pPr>
      <w:rPr>
        <w:rFonts w:ascii="Symbol" w:hAnsi="Symbol" w:hint="default"/>
      </w:rPr>
    </w:lvl>
    <w:lvl w:ilvl="7" w:tplc="04080003">
      <w:start w:val="1"/>
      <w:numFmt w:val="bullet"/>
      <w:lvlText w:val="o"/>
      <w:lvlJc w:val="left"/>
      <w:pPr>
        <w:tabs>
          <w:tab w:val="num" w:pos="5880"/>
        </w:tabs>
        <w:ind w:left="5880" w:hanging="360"/>
      </w:pPr>
      <w:rPr>
        <w:rFonts w:ascii="Courier New" w:hAnsi="Courier New" w:cs="Courier New" w:hint="default"/>
      </w:rPr>
    </w:lvl>
    <w:lvl w:ilvl="8" w:tplc="04080005">
      <w:start w:val="1"/>
      <w:numFmt w:val="bullet"/>
      <w:lvlText w:val=""/>
      <w:lvlJc w:val="left"/>
      <w:pPr>
        <w:tabs>
          <w:tab w:val="num" w:pos="6600"/>
        </w:tabs>
        <w:ind w:left="6600" w:hanging="360"/>
      </w:pPr>
      <w:rPr>
        <w:rFonts w:ascii="Wingdings" w:hAnsi="Wingdings" w:hint="default"/>
      </w:rPr>
    </w:lvl>
  </w:abstractNum>
  <w:abstractNum w:abstractNumId="3">
    <w:nsid w:val="514766E0"/>
    <w:multiLevelType w:val="hybridMultilevel"/>
    <w:tmpl w:val="9F32CF5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163"/>
    <w:rsid w:val="00146518"/>
    <w:rsid w:val="003C5648"/>
    <w:rsid w:val="00855163"/>
    <w:rsid w:val="0092089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163"/>
    <w:pPr>
      <w:spacing w:after="120" w:line="240" w:lineRule="auto"/>
      <w:jc w:val="both"/>
    </w:pPr>
    <w:rPr>
      <w:rFonts w:ascii="Verdana" w:eastAsia="Times New Roman" w:hAnsi="Verdana" w:cs="Times New Roman"/>
      <w:sz w:val="18"/>
      <w:szCs w:val="20"/>
    </w:rPr>
  </w:style>
  <w:style w:type="paragraph" w:styleId="Heading1">
    <w:name w:val="heading 1"/>
    <w:basedOn w:val="Normal"/>
    <w:next w:val="Normal"/>
    <w:link w:val="Heading1Char"/>
    <w:qFormat/>
    <w:rsid w:val="00855163"/>
    <w:pPr>
      <w:keepNext/>
      <w:pageBreakBefore/>
      <w:numPr>
        <w:numId w:val="1"/>
      </w:numPr>
      <w:pBdr>
        <w:bottom w:val="single" w:sz="12" w:space="1" w:color="0000FF"/>
      </w:pBdr>
      <w:tabs>
        <w:tab w:val="left" w:pos="720"/>
      </w:tabs>
      <w:spacing w:before="360" w:after="240"/>
      <w:jc w:val="left"/>
      <w:outlineLvl w:val="0"/>
    </w:pPr>
    <w:rPr>
      <w:b/>
      <w:sz w:val="36"/>
    </w:rPr>
  </w:style>
  <w:style w:type="paragraph" w:styleId="Heading2">
    <w:name w:val="heading 2"/>
    <w:basedOn w:val="Normal"/>
    <w:next w:val="Normal"/>
    <w:link w:val="Heading2Char"/>
    <w:autoRedefine/>
    <w:semiHidden/>
    <w:unhideWhenUsed/>
    <w:qFormat/>
    <w:rsid w:val="00855163"/>
    <w:pPr>
      <w:keepNext/>
      <w:keepLines/>
      <w:numPr>
        <w:ilvl w:val="1"/>
        <w:numId w:val="1"/>
      </w:numPr>
      <w:spacing w:before="480" w:after="60"/>
      <w:jc w:val="left"/>
      <w:outlineLvl w:val="1"/>
    </w:pPr>
    <w:rPr>
      <w:rFonts w:cs="Arial"/>
      <w:b/>
      <w:color w:val="333333"/>
      <w:sz w:val="32"/>
      <w:szCs w:val="32"/>
    </w:rPr>
  </w:style>
  <w:style w:type="paragraph" w:styleId="Heading3">
    <w:name w:val="heading 3"/>
    <w:basedOn w:val="Normal"/>
    <w:next w:val="Normal"/>
    <w:link w:val="Heading3Char"/>
    <w:semiHidden/>
    <w:unhideWhenUsed/>
    <w:qFormat/>
    <w:rsid w:val="00855163"/>
    <w:pPr>
      <w:keepNext/>
      <w:numPr>
        <w:ilvl w:val="2"/>
        <w:numId w:val="1"/>
      </w:numPr>
      <w:tabs>
        <w:tab w:val="clear" w:pos="1571"/>
        <w:tab w:val="num" w:pos="2127"/>
      </w:tabs>
      <w:spacing w:before="400" w:after="60"/>
      <w:ind w:left="2127" w:hanging="1276"/>
      <w:jc w:val="left"/>
      <w:outlineLvl w:val="2"/>
    </w:pPr>
    <w:rPr>
      <w:b/>
      <w:sz w:val="28"/>
    </w:rPr>
  </w:style>
  <w:style w:type="paragraph" w:styleId="Heading4">
    <w:name w:val="heading 4"/>
    <w:basedOn w:val="Normal"/>
    <w:next w:val="Normal"/>
    <w:link w:val="Heading4Char"/>
    <w:autoRedefine/>
    <w:semiHidden/>
    <w:unhideWhenUsed/>
    <w:qFormat/>
    <w:rsid w:val="00855163"/>
    <w:pPr>
      <w:keepNext/>
      <w:numPr>
        <w:ilvl w:val="3"/>
        <w:numId w:val="1"/>
      </w:numPr>
      <w:tabs>
        <w:tab w:val="clear" w:pos="1764"/>
        <w:tab w:val="num" w:pos="2127"/>
      </w:tabs>
      <w:spacing w:before="240" w:after="60"/>
      <w:ind w:left="2127" w:hanging="1227"/>
      <w:outlineLvl w:val="3"/>
    </w:pPr>
    <w:rPr>
      <w:b/>
      <w:i/>
      <w:sz w:val="24"/>
    </w:rPr>
  </w:style>
  <w:style w:type="paragraph" w:styleId="Heading5">
    <w:name w:val="heading 5"/>
    <w:basedOn w:val="Normal"/>
    <w:next w:val="Normal"/>
    <w:link w:val="Heading5Char"/>
    <w:semiHidden/>
    <w:unhideWhenUsed/>
    <w:qFormat/>
    <w:rsid w:val="00855163"/>
    <w:pPr>
      <w:keepNext/>
      <w:numPr>
        <w:ilvl w:val="4"/>
        <w:numId w:val="1"/>
      </w:numPr>
      <w:spacing w:before="400" w:after="60"/>
      <w:outlineLvl w:val="4"/>
    </w:pPr>
    <w:rPr>
      <w:b/>
      <w:sz w:val="20"/>
    </w:rPr>
  </w:style>
  <w:style w:type="paragraph" w:styleId="Heading6">
    <w:name w:val="heading 6"/>
    <w:basedOn w:val="Normal"/>
    <w:next w:val="Normal"/>
    <w:link w:val="Heading6Char"/>
    <w:semiHidden/>
    <w:unhideWhenUsed/>
    <w:qFormat/>
    <w:rsid w:val="00855163"/>
    <w:pPr>
      <w:keepNext/>
      <w:numPr>
        <w:ilvl w:val="5"/>
        <w:numId w:val="1"/>
      </w:numPr>
      <w:spacing w:before="240" w:after="60"/>
      <w:outlineLvl w:val="5"/>
    </w:pPr>
    <w:rPr>
      <w:b/>
      <w:i/>
    </w:rPr>
  </w:style>
  <w:style w:type="paragraph" w:styleId="Heading7">
    <w:name w:val="heading 7"/>
    <w:basedOn w:val="Normal"/>
    <w:next w:val="Normal"/>
    <w:link w:val="Heading7Char"/>
    <w:semiHidden/>
    <w:unhideWhenUsed/>
    <w:qFormat/>
    <w:rsid w:val="00855163"/>
    <w:pPr>
      <w:keepNext/>
      <w:numPr>
        <w:ilvl w:val="6"/>
        <w:numId w:val="1"/>
      </w:numPr>
      <w:jc w:val="center"/>
      <w:outlineLvl w:val="6"/>
    </w:pPr>
    <w:rPr>
      <w:rFonts w:ascii="Arial" w:hAnsi="Arial" w:cs="Arial"/>
      <w:sz w:val="20"/>
      <w:u w:val="single"/>
    </w:rPr>
  </w:style>
  <w:style w:type="paragraph" w:styleId="Heading8">
    <w:name w:val="heading 8"/>
    <w:basedOn w:val="Normal"/>
    <w:next w:val="Normal"/>
    <w:link w:val="Heading8Char"/>
    <w:semiHidden/>
    <w:unhideWhenUsed/>
    <w:qFormat/>
    <w:rsid w:val="00855163"/>
    <w:pPr>
      <w:keepNext/>
      <w:numPr>
        <w:ilvl w:val="7"/>
        <w:numId w:val="1"/>
      </w:numPr>
      <w:ind w:right="-40"/>
      <w:jc w:val="center"/>
      <w:outlineLvl w:val="7"/>
    </w:pPr>
    <w:rPr>
      <w:rFonts w:ascii="Arial" w:hAnsi="Arial" w:cs="Arial"/>
      <w:b/>
      <w:sz w:val="20"/>
      <w:u w:val="single"/>
    </w:rPr>
  </w:style>
  <w:style w:type="paragraph" w:styleId="Heading9">
    <w:name w:val="heading 9"/>
    <w:basedOn w:val="Normal"/>
    <w:next w:val="Normal"/>
    <w:link w:val="Heading9Char"/>
    <w:semiHidden/>
    <w:unhideWhenUsed/>
    <w:qFormat/>
    <w:rsid w:val="00855163"/>
    <w:pPr>
      <w:keepNext/>
      <w:numPr>
        <w:ilvl w:val="8"/>
        <w:numId w:val="1"/>
      </w:numPr>
      <w:ind w:right="-40"/>
      <w:jc w:val="center"/>
      <w:outlineLvl w:val="8"/>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5163"/>
    <w:rPr>
      <w:rFonts w:ascii="Verdana" w:eastAsia="Times New Roman" w:hAnsi="Verdana" w:cs="Times New Roman"/>
      <w:b/>
      <w:sz w:val="36"/>
      <w:szCs w:val="20"/>
    </w:rPr>
  </w:style>
  <w:style w:type="character" w:customStyle="1" w:styleId="Heading2Char">
    <w:name w:val="Heading 2 Char"/>
    <w:basedOn w:val="DefaultParagraphFont"/>
    <w:link w:val="Heading2"/>
    <w:semiHidden/>
    <w:rsid w:val="00855163"/>
    <w:rPr>
      <w:rFonts w:ascii="Verdana" w:eastAsia="Times New Roman" w:hAnsi="Verdana" w:cs="Arial"/>
      <w:b/>
      <w:color w:val="333333"/>
      <w:sz w:val="32"/>
      <w:szCs w:val="32"/>
    </w:rPr>
  </w:style>
  <w:style w:type="character" w:customStyle="1" w:styleId="Heading3Char">
    <w:name w:val="Heading 3 Char"/>
    <w:basedOn w:val="DefaultParagraphFont"/>
    <w:link w:val="Heading3"/>
    <w:semiHidden/>
    <w:rsid w:val="00855163"/>
    <w:rPr>
      <w:rFonts w:ascii="Verdana" w:eastAsia="Times New Roman" w:hAnsi="Verdana" w:cs="Times New Roman"/>
      <w:b/>
      <w:sz w:val="28"/>
      <w:szCs w:val="20"/>
    </w:rPr>
  </w:style>
  <w:style w:type="character" w:customStyle="1" w:styleId="Heading4Char">
    <w:name w:val="Heading 4 Char"/>
    <w:basedOn w:val="DefaultParagraphFont"/>
    <w:link w:val="Heading4"/>
    <w:semiHidden/>
    <w:rsid w:val="00855163"/>
    <w:rPr>
      <w:rFonts w:ascii="Verdana" w:eastAsia="Times New Roman" w:hAnsi="Verdana" w:cs="Times New Roman"/>
      <w:b/>
      <w:i/>
      <w:sz w:val="24"/>
      <w:szCs w:val="20"/>
    </w:rPr>
  </w:style>
  <w:style w:type="character" w:customStyle="1" w:styleId="Heading5Char">
    <w:name w:val="Heading 5 Char"/>
    <w:basedOn w:val="DefaultParagraphFont"/>
    <w:link w:val="Heading5"/>
    <w:semiHidden/>
    <w:rsid w:val="00855163"/>
    <w:rPr>
      <w:rFonts w:ascii="Verdana" w:eastAsia="Times New Roman" w:hAnsi="Verdana" w:cs="Times New Roman"/>
      <w:b/>
      <w:sz w:val="20"/>
      <w:szCs w:val="20"/>
    </w:rPr>
  </w:style>
  <w:style w:type="character" w:customStyle="1" w:styleId="Heading6Char">
    <w:name w:val="Heading 6 Char"/>
    <w:basedOn w:val="DefaultParagraphFont"/>
    <w:link w:val="Heading6"/>
    <w:semiHidden/>
    <w:rsid w:val="00855163"/>
    <w:rPr>
      <w:rFonts w:ascii="Verdana" w:eastAsia="Times New Roman" w:hAnsi="Verdana" w:cs="Times New Roman"/>
      <w:b/>
      <w:i/>
      <w:sz w:val="18"/>
      <w:szCs w:val="20"/>
    </w:rPr>
  </w:style>
  <w:style w:type="character" w:customStyle="1" w:styleId="Heading7Char">
    <w:name w:val="Heading 7 Char"/>
    <w:basedOn w:val="DefaultParagraphFont"/>
    <w:link w:val="Heading7"/>
    <w:semiHidden/>
    <w:rsid w:val="00855163"/>
    <w:rPr>
      <w:rFonts w:ascii="Arial" w:eastAsia="Times New Roman" w:hAnsi="Arial" w:cs="Arial"/>
      <w:sz w:val="20"/>
      <w:szCs w:val="20"/>
      <w:u w:val="single"/>
    </w:rPr>
  </w:style>
  <w:style w:type="character" w:customStyle="1" w:styleId="Heading8Char">
    <w:name w:val="Heading 8 Char"/>
    <w:basedOn w:val="DefaultParagraphFont"/>
    <w:link w:val="Heading8"/>
    <w:semiHidden/>
    <w:rsid w:val="00855163"/>
    <w:rPr>
      <w:rFonts w:ascii="Arial" w:eastAsia="Times New Roman" w:hAnsi="Arial" w:cs="Arial"/>
      <w:b/>
      <w:sz w:val="20"/>
      <w:szCs w:val="20"/>
      <w:u w:val="single"/>
    </w:rPr>
  </w:style>
  <w:style w:type="character" w:customStyle="1" w:styleId="Heading9Char">
    <w:name w:val="Heading 9 Char"/>
    <w:basedOn w:val="DefaultParagraphFont"/>
    <w:link w:val="Heading9"/>
    <w:semiHidden/>
    <w:rsid w:val="00855163"/>
    <w:rPr>
      <w:rFonts w:ascii="Arial" w:eastAsia="Times New Roman" w:hAnsi="Arial" w:cs="Arial"/>
      <w:b/>
      <w:bCs/>
      <w:sz w:val="18"/>
      <w:szCs w:val="20"/>
      <w:u w:val="single"/>
    </w:rPr>
  </w:style>
  <w:style w:type="paragraph" w:styleId="Caption">
    <w:name w:val="caption"/>
    <w:basedOn w:val="Normal"/>
    <w:next w:val="Normal"/>
    <w:semiHidden/>
    <w:unhideWhenUsed/>
    <w:qFormat/>
    <w:rsid w:val="00855163"/>
    <w:pPr>
      <w:spacing w:before="120"/>
      <w:jc w:val="center"/>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163"/>
    <w:pPr>
      <w:spacing w:after="120" w:line="240" w:lineRule="auto"/>
      <w:jc w:val="both"/>
    </w:pPr>
    <w:rPr>
      <w:rFonts w:ascii="Verdana" w:eastAsia="Times New Roman" w:hAnsi="Verdana" w:cs="Times New Roman"/>
      <w:sz w:val="18"/>
      <w:szCs w:val="20"/>
    </w:rPr>
  </w:style>
  <w:style w:type="paragraph" w:styleId="Heading1">
    <w:name w:val="heading 1"/>
    <w:basedOn w:val="Normal"/>
    <w:next w:val="Normal"/>
    <w:link w:val="Heading1Char"/>
    <w:qFormat/>
    <w:rsid w:val="00855163"/>
    <w:pPr>
      <w:keepNext/>
      <w:pageBreakBefore/>
      <w:numPr>
        <w:numId w:val="1"/>
      </w:numPr>
      <w:pBdr>
        <w:bottom w:val="single" w:sz="12" w:space="1" w:color="0000FF"/>
      </w:pBdr>
      <w:tabs>
        <w:tab w:val="left" w:pos="720"/>
      </w:tabs>
      <w:spacing w:before="360" w:after="240"/>
      <w:jc w:val="left"/>
      <w:outlineLvl w:val="0"/>
    </w:pPr>
    <w:rPr>
      <w:b/>
      <w:sz w:val="36"/>
    </w:rPr>
  </w:style>
  <w:style w:type="paragraph" w:styleId="Heading2">
    <w:name w:val="heading 2"/>
    <w:basedOn w:val="Normal"/>
    <w:next w:val="Normal"/>
    <w:link w:val="Heading2Char"/>
    <w:autoRedefine/>
    <w:semiHidden/>
    <w:unhideWhenUsed/>
    <w:qFormat/>
    <w:rsid w:val="00855163"/>
    <w:pPr>
      <w:keepNext/>
      <w:keepLines/>
      <w:numPr>
        <w:ilvl w:val="1"/>
        <w:numId w:val="1"/>
      </w:numPr>
      <w:spacing w:before="480" w:after="60"/>
      <w:jc w:val="left"/>
      <w:outlineLvl w:val="1"/>
    </w:pPr>
    <w:rPr>
      <w:rFonts w:cs="Arial"/>
      <w:b/>
      <w:color w:val="333333"/>
      <w:sz w:val="32"/>
      <w:szCs w:val="32"/>
    </w:rPr>
  </w:style>
  <w:style w:type="paragraph" w:styleId="Heading3">
    <w:name w:val="heading 3"/>
    <w:basedOn w:val="Normal"/>
    <w:next w:val="Normal"/>
    <w:link w:val="Heading3Char"/>
    <w:semiHidden/>
    <w:unhideWhenUsed/>
    <w:qFormat/>
    <w:rsid w:val="00855163"/>
    <w:pPr>
      <w:keepNext/>
      <w:numPr>
        <w:ilvl w:val="2"/>
        <w:numId w:val="1"/>
      </w:numPr>
      <w:tabs>
        <w:tab w:val="clear" w:pos="1571"/>
        <w:tab w:val="num" w:pos="2127"/>
      </w:tabs>
      <w:spacing w:before="400" w:after="60"/>
      <w:ind w:left="2127" w:hanging="1276"/>
      <w:jc w:val="left"/>
      <w:outlineLvl w:val="2"/>
    </w:pPr>
    <w:rPr>
      <w:b/>
      <w:sz w:val="28"/>
    </w:rPr>
  </w:style>
  <w:style w:type="paragraph" w:styleId="Heading4">
    <w:name w:val="heading 4"/>
    <w:basedOn w:val="Normal"/>
    <w:next w:val="Normal"/>
    <w:link w:val="Heading4Char"/>
    <w:autoRedefine/>
    <w:semiHidden/>
    <w:unhideWhenUsed/>
    <w:qFormat/>
    <w:rsid w:val="00855163"/>
    <w:pPr>
      <w:keepNext/>
      <w:numPr>
        <w:ilvl w:val="3"/>
        <w:numId w:val="1"/>
      </w:numPr>
      <w:tabs>
        <w:tab w:val="clear" w:pos="1764"/>
        <w:tab w:val="num" w:pos="2127"/>
      </w:tabs>
      <w:spacing w:before="240" w:after="60"/>
      <w:ind w:left="2127" w:hanging="1227"/>
      <w:outlineLvl w:val="3"/>
    </w:pPr>
    <w:rPr>
      <w:b/>
      <w:i/>
      <w:sz w:val="24"/>
    </w:rPr>
  </w:style>
  <w:style w:type="paragraph" w:styleId="Heading5">
    <w:name w:val="heading 5"/>
    <w:basedOn w:val="Normal"/>
    <w:next w:val="Normal"/>
    <w:link w:val="Heading5Char"/>
    <w:semiHidden/>
    <w:unhideWhenUsed/>
    <w:qFormat/>
    <w:rsid w:val="00855163"/>
    <w:pPr>
      <w:keepNext/>
      <w:numPr>
        <w:ilvl w:val="4"/>
        <w:numId w:val="1"/>
      </w:numPr>
      <w:spacing w:before="400" w:after="60"/>
      <w:outlineLvl w:val="4"/>
    </w:pPr>
    <w:rPr>
      <w:b/>
      <w:sz w:val="20"/>
    </w:rPr>
  </w:style>
  <w:style w:type="paragraph" w:styleId="Heading6">
    <w:name w:val="heading 6"/>
    <w:basedOn w:val="Normal"/>
    <w:next w:val="Normal"/>
    <w:link w:val="Heading6Char"/>
    <w:semiHidden/>
    <w:unhideWhenUsed/>
    <w:qFormat/>
    <w:rsid w:val="00855163"/>
    <w:pPr>
      <w:keepNext/>
      <w:numPr>
        <w:ilvl w:val="5"/>
        <w:numId w:val="1"/>
      </w:numPr>
      <w:spacing w:before="240" w:after="60"/>
      <w:outlineLvl w:val="5"/>
    </w:pPr>
    <w:rPr>
      <w:b/>
      <w:i/>
    </w:rPr>
  </w:style>
  <w:style w:type="paragraph" w:styleId="Heading7">
    <w:name w:val="heading 7"/>
    <w:basedOn w:val="Normal"/>
    <w:next w:val="Normal"/>
    <w:link w:val="Heading7Char"/>
    <w:semiHidden/>
    <w:unhideWhenUsed/>
    <w:qFormat/>
    <w:rsid w:val="00855163"/>
    <w:pPr>
      <w:keepNext/>
      <w:numPr>
        <w:ilvl w:val="6"/>
        <w:numId w:val="1"/>
      </w:numPr>
      <w:jc w:val="center"/>
      <w:outlineLvl w:val="6"/>
    </w:pPr>
    <w:rPr>
      <w:rFonts w:ascii="Arial" w:hAnsi="Arial" w:cs="Arial"/>
      <w:sz w:val="20"/>
      <w:u w:val="single"/>
    </w:rPr>
  </w:style>
  <w:style w:type="paragraph" w:styleId="Heading8">
    <w:name w:val="heading 8"/>
    <w:basedOn w:val="Normal"/>
    <w:next w:val="Normal"/>
    <w:link w:val="Heading8Char"/>
    <w:semiHidden/>
    <w:unhideWhenUsed/>
    <w:qFormat/>
    <w:rsid w:val="00855163"/>
    <w:pPr>
      <w:keepNext/>
      <w:numPr>
        <w:ilvl w:val="7"/>
        <w:numId w:val="1"/>
      </w:numPr>
      <w:ind w:right="-40"/>
      <w:jc w:val="center"/>
      <w:outlineLvl w:val="7"/>
    </w:pPr>
    <w:rPr>
      <w:rFonts w:ascii="Arial" w:hAnsi="Arial" w:cs="Arial"/>
      <w:b/>
      <w:sz w:val="20"/>
      <w:u w:val="single"/>
    </w:rPr>
  </w:style>
  <w:style w:type="paragraph" w:styleId="Heading9">
    <w:name w:val="heading 9"/>
    <w:basedOn w:val="Normal"/>
    <w:next w:val="Normal"/>
    <w:link w:val="Heading9Char"/>
    <w:semiHidden/>
    <w:unhideWhenUsed/>
    <w:qFormat/>
    <w:rsid w:val="00855163"/>
    <w:pPr>
      <w:keepNext/>
      <w:numPr>
        <w:ilvl w:val="8"/>
        <w:numId w:val="1"/>
      </w:numPr>
      <w:ind w:right="-40"/>
      <w:jc w:val="center"/>
      <w:outlineLvl w:val="8"/>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5163"/>
    <w:rPr>
      <w:rFonts w:ascii="Verdana" w:eastAsia="Times New Roman" w:hAnsi="Verdana" w:cs="Times New Roman"/>
      <w:b/>
      <w:sz w:val="36"/>
      <w:szCs w:val="20"/>
    </w:rPr>
  </w:style>
  <w:style w:type="character" w:customStyle="1" w:styleId="Heading2Char">
    <w:name w:val="Heading 2 Char"/>
    <w:basedOn w:val="DefaultParagraphFont"/>
    <w:link w:val="Heading2"/>
    <w:semiHidden/>
    <w:rsid w:val="00855163"/>
    <w:rPr>
      <w:rFonts w:ascii="Verdana" w:eastAsia="Times New Roman" w:hAnsi="Verdana" w:cs="Arial"/>
      <w:b/>
      <w:color w:val="333333"/>
      <w:sz w:val="32"/>
      <w:szCs w:val="32"/>
    </w:rPr>
  </w:style>
  <w:style w:type="character" w:customStyle="1" w:styleId="Heading3Char">
    <w:name w:val="Heading 3 Char"/>
    <w:basedOn w:val="DefaultParagraphFont"/>
    <w:link w:val="Heading3"/>
    <w:semiHidden/>
    <w:rsid w:val="00855163"/>
    <w:rPr>
      <w:rFonts w:ascii="Verdana" w:eastAsia="Times New Roman" w:hAnsi="Verdana" w:cs="Times New Roman"/>
      <w:b/>
      <w:sz w:val="28"/>
      <w:szCs w:val="20"/>
    </w:rPr>
  </w:style>
  <w:style w:type="character" w:customStyle="1" w:styleId="Heading4Char">
    <w:name w:val="Heading 4 Char"/>
    <w:basedOn w:val="DefaultParagraphFont"/>
    <w:link w:val="Heading4"/>
    <w:semiHidden/>
    <w:rsid w:val="00855163"/>
    <w:rPr>
      <w:rFonts w:ascii="Verdana" w:eastAsia="Times New Roman" w:hAnsi="Verdana" w:cs="Times New Roman"/>
      <w:b/>
      <w:i/>
      <w:sz w:val="24"/>
      <w:szCs w:val="20"/>
    </w:rPr>
  </w:style>
  <w:style w:type="character" w:customStyle="1" w:styleId="Heading5Char">
    <w:name w:val="Heading 5 Char"/>
    <w:basedOn w:val="DefaultParagraphFont"/>
    <w:link w:val="Heading5"/>
    <w:semiHidden/>
    <w:rsid w:val="00855163"/>
    <w:rPr>
      <w:rFonts w:ascii="Verdana" w:eastAsia="Times New Roman" w:hAnsi="Verdana" w:cs="Times New Roman"/>
      <w:b/>
      <w:sz w:val="20"/>
      <w:szCs w:val="20"/>
    </w:rPr>
  </w:style>
  <w:style w:type="character" w:customStyle="1" w:styleId="Heading6Char">
    <w:name w:val="Heading 6 Char"/>
    <w:basedOn w:val="DefaultParagraphFont"/>
    <w:link w:val="Heading6"/>
    <w:semiHidden/>
    <w:rsid w:val="00855163"/>
    <w:rPr>
      <w:rFonts w:ascii="Verdana" w:eastAsia="Times New Roman" w:hAnsi="Verdana" w:cs="Times New Roman"/>
      <w:b/>
      <w:i/>
      <w:sz w:val="18"/>
      <w:szCs w:val="20"/>
    </w:rPr>
  </w:style>
  <w:style w:type="character" w:customStyle="1" w:styleId="Heading7Char">
    <w:name w:val="Heading 7 Char"/>
    <w:basedOn w:val="DefaultParagraphFont"/>
    <w:link w:val="Heading7"/>
    <w:semiHidden/>
    <w:rsid w:val="00855163"/>
    <w:rPr>
      <w:rFonts w:ascii="Arial" w:eastAsia="Times New Roman" w:hAnsi="Arial" w:cs="Arial"/>
      <w:sz w:val="20"/>
      <w:szCs w:val="20"/>
      <w:u w:val="single"/>
    </w:rPr>
  </w:style>
  <w:style w:type="character" w:customStyle="1" w:styleId="Heading8Char">
    <w:name w:val="Heading 8 Char"/>
    <w:basedOn w:val="DefaultParagraphFont"/>
    <w:link w:val="Heading8"/>
    <w:semiHidden/>
    <w:rsid w:val="00855163"/>
    <w:rPr>
      <w:rFonts w:ascii="Arial" w:eastAsia="Times New Roman" w:hAnsi="Arial" w:cs="Arial"/>
      <w:b/>
      <w:sz w:val="20"/>
      <w:szCs w:val="20"/>
      <w:u w:val="single"/>
    </w:rPr>
  </w:style>
  <w:style w:type="character" w:customStyle="1" w:styleId="Heading9Char">
    <w:name w:val="Heading 9 Char"/>
    <w:basedOn w:val="DefaultParagraphFont"/>
    <w:link w:val="Heading9"/>
    <w:semiHidden/>
    <w:rsid w:val="00855163"/>
    <w:rPr>
      <w:rFonts w:ascii="Arial" w:eastAsia="Times New Roman" w:hAnsi="Arial" w:cs="Arial"/>
      <w:b/>
      <w:bCs/>
      <w:sz w:val="18"/>
      <w:szCs w:val="20"/>
      <w:u w:val="single"/>
    </w:rPr>
  </w:style>
  <w:style w:type="paragraph" w:styleId="Caption">
    <w:name w:val="caption"/>
    <w:basedOn w:val="Normal"/>
    <w:next w:val="Normal"/>
    <w:semiHidden/>
    <w:unhideWhenUsed/>
    <w:qFormat/>
    <w:rsid w:val="00855163"/>
    <w:pPr>
      <w:spacing w:before="120"/>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59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476</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Zografou, Ioanna</dc:creator>
  <cp:lastModifiedBy>Zografou, Ioanna</cp:lastModifiedBy>
  <cp:revision>3</cp:revision>
  <dcterms:created xsi:type="dcterms:W3CDTF">2013-01-31T11:57:00Z</dcterms:created>
  <dcterms:modified xsi:type="dcterms:W3CDTF">2013-06-11T08:53:00Z</dcterms:modified>
</cp:coreProperties>
</file>